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F1E" w:rsidRPr="002768AA" w:rsidRDefault="00663F1E" w:rsidP="003D6302">
      <w:pPr>
        <w:spacing w:after="0" w:line="240" w:lineRule="auto"/>
        <w:jc w:val="center"/>
        <w:rPr>
          <w:b/>
          <w:sz w:val="36"/>
        </w:rPr>
      </w:pPr>
      <w:bookmarkStart w:id="0" w:name="_GoBack"/>
      <w:bookmarkEnd w:id="0"/>
      <w:r w:rsidRPr="002768AA">
        <w:rPr>
          <w:b/>
          <w:sz w:val="36"/>
        </w:rPr>
        <w:t xml:space="preserve">Nutrition and Your </w:t>
      </w:r>
      <w:proofErr w:type="spellStart"/>
      <w:r w:rsidRPr="002768AA">
        <w:rPr>
          <w:b/>
          <w:sz w:val="36"/>
        </w:rPr>
        <w:t>Epigenome</w:t>
      </w:r>
      <w:proofErr w:type="spellEnd"/>
    </w:p>
    <w:p w:rsidR="00663F1E" w:rsidRPr="002768AA" w:rsidRDefault="00663F1E" w:rsidP="003D6302">
      <w:pPr>
        <w:spacing w:after="0" w:line="240" w:lineRule="auto"/>
      </w:pPr>
      <w:r w:rsidRPr="002768AA">
        <w:rPr>
          <w:noProof/>
        </w:rPr>
        <w:drawing>
          <wp:anchor distT="0" distB="0" distL="114300" distR="114300" simplePos="0" relativeHeight="251664384" behindDoc="1" locked="0" layoutInCell="1" allowOverlap="1" wp14:anchorId="30448FB2" wp14:editId="514963DA">
            <wp:simplePos x="0" y="0"/>
            <wp:positionH relativeFrom="column">
              <wp:posOffset>3198495</wp:posOffset>
            </wp:positionH>
            <wp:positionV relativeFrom="paragraph">
              <wp:posOffset>14605</wp:posOffset>
            </wp:positionV>
            <wp:extent cx="3062605" cy="2298065"/>
            <wp:effectExtent l="0" t="0" r="4445" b="6985"/>
            <wp:wrapTight wrapText="bothSides">
              <wp:wrapPolygon edited="0">
                <wp:start x="0" y="0"/>
                <wp:lineTo x="0" y="21487"/>
                <wp:lineTo x="21497" y="21487"/>
                <wp:lineTo x="2149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62605" cy="2298065"/>
                    </a:xfrm>
                    <a:prstGeom prst="rect">
                      <a:avLst/>
                    </a:prstGeom>
                  </pic:spPr>
                </pic:pic>
              </a:graphicData>
            </a:graphic>
            <wp14:sizeRelH relativeFrom="page">
              <wp14:pctWidth>0</wp14:pctWidth>
            </wp14:sizeRelH>
            <wp14:sizeRelV relativeFrom="page">
              <wp14:pctHeight>0</wp14:pctHeight>
            </wp14:sizeRelV>
          </wp:anchor>
        </w:drawing>
      </w:r>
    </w:p>
    <w:p w:rsidR="00C55C83" w:rsidRPr="002768AA" w:rsidRDefault="00C55C83" w:rsidP="003D6302">
      <w:pPr>
        <w:spacing w:after="0" w:line="240" w:lineRule="auto"/>
        <w:rPr>
          <w:sz w:val="24"/>
        </w:rPr>
      </w:pPr>
      <w:r w:rsidRPr="002768AA">
        <w:rPr>
          <w:sz w:val="24"/>
        </w:rPr>
        <w:t xml:space="preserve">Scientists are studying how food can produce epigenetic effects.  Food is digested and turned into molecules that can change the activity of our DNA.  Some foods turn up activity, while others turn it down.  </w:t>
      </w:r>
    </w:p>
    <w:p w:rsidR="00C55C83" w:rsidRPr="002768AA" w:rsidRDefault="00C55C83" w:rsidP="003D6302">
      <w:pPr>
        <w:spacing w:after="0" w:line="240" w:lineRule="auto"/>
        <w:rPr>
          <w:sz w:val="24"/>
        </w:rPr>
      </w:pPr>
    </w:p>
    <w:p w:rsidR="00663F1E" w:rsidRPr="002768AA" w:rsidRDefault="00663F1E" w:rsidP="003D6302">
      <w:pPr>
        <w:spacing w:after="0" w:line="240" w:lineRule="auto"/>
        <w:rPr>
          <w:sz w:val="24"/>
        </w:rPr>
      </w:pPr>
      <w:r w:rsidRPr="002768AA">
        <w:rPr>
          <w:sz w:val="24"/>
        </w:rPr>
        <w:t xml:space="preserve">The </w:t>
      </w:r>
      <w:r w:rsidRPr="002768AA">
        <w:rPr>
          <w:sz w:val="24"/>
          <w:u w:val="single"/>
        </w:rPr>
        <w:t>Genetic Science Learning Center</w:t>
      </w:r>
      <w:r w:rsidR="00C55C83" w:rsidRPr="002768AA">
        <w:rPr>
          <w:sz w:val="24"/>
        </w:rPr>
        <w:t xml:space="preserve"> at the University of Utah</w:t>
      </w:r>
      <w:r w:rsidRPr="002768AA">
        <w:rPr>
          <w:sz w:val="24"/>
        </w:rPr>
        <w:t xml:space="preserve"> </w:t>
      </w:r>
      <w:r w:rsidR="00C55C83" w:rsidRPr="002768AA">
        <w:rPr>
          <w:sz w:val="24"/>
        </w:rPr>
        <w:t xml:space="preserve">developed this picture and table to show </w:t>
      </w:r>
      <w:r w:rsidR="002768AA" w:rsidRPr="002768AA">
        <w:rPr>
          <w:sz w:val="24"/>
        </w:rPr>
        <w:t xml:space="preserve">examples of how this works.  We’re learning more everyday about new foods and their epigenetic roles.  </w:t>
      </w:r>
      <w:r w:rsidR="002768AA" w:rsidRPr="002768AA">
        <w:rPr>
          <w:sz w:val="24"/>
          <w:u w:val="single"/>
        </w:rPr>
        <w:t>Oregon State University</w:t>
      </w:r>
      <w:r w:rsidR="002768AA" w:rsidRPr="002768AA">
        <w:rPr>
          <w:sz w:val="24"/>
        </w:rPr>
        <w:t xml:space="preserve"> is currently doing a lot of research in this area.  </w:t>
      </w:r>
      <w:r w:rsidR="00C55C83" w:rsidRPr="002768AA">
        <w:rPr>
          <w:sz w:val="24"/>
        </w:rPr>
        <w:t xml:space="preserve"> </w:t>
      </w:r>
    </w:p>
    <w:p w:rsidR="00663F1E" w:rsidRPr="002768AA" w:rsidRDefault="00663F1E" w:rsidP="003D6302">
      <w:pPr>
        <w:spacing w:after="0" w:line="240" w:lineRule="auto"/>
      </w:pPr>
    </w:p>
    <w:tbl>
      <w:tblPr>
        <w:tblStyle w:val="TableGrid"/>
        <w:tblW w:w="10008" w:type="dxa"/>
        <w:tblLook w:val="04A0" w:firstRow="1" w:lastRow="0" w:firstColumn="1" w:lastColumn="0" w:noHBand="0" w:noVBand="1"/>
      </w:tblPr>
      <w:tblGrid>
        <w:gridCol w:w="2448"/>
        <w:gridCol w:w="3690"/>
        <w:gridCol w:w="3870"/>
      </w:tblGrid>
      <w:tr w:rsidR="00DF5562" w:rsidRPr="002768AA" w:rsidTr="002768AA">
        <w:tc>
          <w:tcPr>
            <w:tcW w:w="2448" w:type="dxa"/>
            <w:shd w:val="clear" w:color="auto" w:fill="C2D69B" w:themeFill="accent3" w:themeFillTint="99"/>
            <w:vAlign w:val="center"/>
          </w:tcPr>
          <w:p w:rsidR="00DF5562" w:rsidRPr="002768AA" w:rsidRDefault="00DF5562" w:rsidP="003D6302">
            <w:pPr>
              <w:autoSpaceDE w:val="0"/>
              <w:autoSpaceDN w:val="0"/>
              <w:adjustRightInd w:val="0"/>
              <w:jc w:val="center"/>
              <w:rPr>
                <w:rFonts w:cs="Times New Roman"/>
                <w:sz w:val="32"/>
                <w:szCs w:val="24"/>
              </w:rPr>
            </w:pPr>
            <w:r w:rsidRPr="002768AA">
              <w:rPr>
                <w:rFonts w:cs="Times New Roman"/>
                <w:sz w:val="32"/>
                <w:szCs w:val="24"/>
              </w:rPr>
              <w:t>Nutrient</w:t>
            </w:r>
          </w:p>
        </w:tc>
        <w:tc>
          <w:tcPr>
            <w:tcW w:w="3690" w:type="dxa"/>
            <w:shd w:val="clear" w:color="auto" w:fill="C2D69B" w:themeFill="accent3" w:themeFillTint="99"/>
            <w:vAlign w:val="center"/>
          </w:tcPr>
          <w:p w:rsidR="00DF5562" w:rsidRPr="002768AA" w:rsidRDefault="00DF5562" w:rsidP="003D6302">
            <w:pPr>
              <w:autoSpaceDE w:val="0"/>
              <w:autoSpaceDN w:val="0"/>
              <w:adjustRightInd w:val="0"/>
              <w:jc w:val="center"/>
              <w:rPr>
                <w:rFonts w:cs="Times New Roman"/>
                <w:sz w:val="32"/>
                <w:szCs w:val="24"/>
              </w:rPr>
            </w:pPr>
            <w:r w:rsidRPr="002768AA">
              <w:rPr>
                <w:rFonts w:cs="Times New Roman"/>
                <w:sz w:val="32"/>
                <w:szCs w:val="24"/>
              </w:rPr>
              <w:t>Food Origin</w:t>
            </w:r>
          </w:p>
        </w:tc>
        <w:tc>
          <w:tcPr>
            <w:tcW w:w="3870" w:type="dxa"/>
            <w:shd w:val="clear" w:color="auto" w:fill="C2D69B" w:themeFill="accent3" w:themeFillTint="99"/>
            <w:vAlign w:val="center"/>
          </w:tcPr>
          <w:p w:rsidR="00DF5562" w:rsidRPr="002768AA" w:rsidRDefault="00DF5562" w:rsidP="003D6302">
            <w:pPr>
              <w:autoSpaceDE w:val="0"/>
              <w:autoSpaceDN w:val="0"/>
              <w:adjustRightInd w:val="0"/>
              <w:jc w:val="center"/>
              <w:rPr>
                <w:rFonts w:cs="Times New Roman"/>
                <w:sz w:val="32"/>
                <w:szCs w:val="24"/>
              </w:rPr>
            </w:pPr>
            <w:r w:rsidRPr="002768AA">
              <w:rPr>
                <w:rFonts w:cs="Times New Roman"/>
                <w:sz w:val="32"/>
                <w:szCs w:val="24"/>
              </w:rPr>
              <w:t>Epigenetic Role</w:t>
            </w:r>
          </w:p>
        </w:tc>
      </w:tr>
      <w:tr w:rsidR="00DF5562" w:rsidRPr="002768AA" w:rsidTr="002768AA">
        <w:tc>
          <w:tcPr>
            <w:tcW w:w="2448"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bCs/>
                <w:sz w:val="24"/>
                <w:szCs w:val="24"/>
              </w:rPr>
              <w:t>Methionine</w:t>
            </w:r>
          </w:p>
        </w:tc>
        <w:tc>
          <w:tcPr>
            <w:tcW w:w="369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Sesame seeds, brazil nuts, fish, peppers, spinach</w:t>
            </w:r>
          </w:p>
        </w:tc>
        <w:tc>
          <w:tcPr>
            <w:tcW w:w="387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SAM synthesis</w:t>
            </w:r>
          </w:p>
        </w:tc>
      </w:tr>
      <w:tr w:rsidR="00DF5562" w:rsidRPr="002768AA" w:rsidTr="002768AA">
        <w:tc>
          <w:tcPr>
            <w:tcW w:w="2448"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bCs/>
                <w:sz w:val="24"/>
                <w:szCs w:val="24"/>
              </w:rPr>
              <w:t>Folic Acid</w:t>
            </w:r>
          </w:p>
        </w:tc>
        <w:tc>
          <w:tcPr>
            <w:tcW w:w="369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Leafy vegetables, sunflower seeds, baker's yeast, liver</w:t>
            </w:r>
          </w:p>
        </w:tc>
        <w:tc>
          <w:tcPr>
            <w:tcW w:w="387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Methionine synthesis</w:t>
            </w:r>
          </w:p>
        </w:tc>
      </w:tr>
      <w:tr w:rsidR="00DF5562" w:rsidRPr="002768AA" w:rsidTr="002768AA">
        <w:tc>
          <w:tcPr>
            <w:tcW w:w="2448" w:type="dxa"/>
            <w:vAlign w:val="center"/>
          </w:tcPr>
          <w:p w:rsidR="00DF5562" w:rsidRPr="002768AA" w:rsidRDefault="00DF5562" w:rsidP="003D6302">
            <w:pPr>
              <w:autoSpaceDE w:val="0"/>
              <w:autoSpaceDN w:val="0"/>
              <w:adjustRightInd w:val="0"/>
              <w:jc w:val="center"/>
              <w:rPr>
                <w:rFonts w:cs="Times New Roman"/>
                <w:bCs/>
                <w:sz w:val="24"/>
                <w:szCs w:val="24"/>
              </w:rPr>
            </w:pPr>
            <w:r w:rsidRPr="002768AA">
              <w:rPr>
                <w:rFonts w:cs="Times New Roman"/>
                <w:bCs/>
                <w:sz w:val="24"/>
                <w:szCs w:val="24"/>
              </w:rPr>
              <w:t>Vitamin B12</w:t>
            </w:r>
          </w:p>
        </w:tc>
        <w:tc>
          <w:tcPr>
            <w:tcW w:w="369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Meat, liver, shellfish, milk</w:t>
            </w:r>
          </w:p>
        </w:tc>
        <w:tc>
          <w:tcPr>
            <w:tcW w:w="387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Methionine synthesis</w:t>
            </w:r>
          </w:p>
        </w:tc>
      </w:tr>
      <w:tr w:rsidR="00DF5562" w:rsidRPr="002768AA" w:rsidTr="002768AA">
        <w:tc>
          <w:tcPr>
            <w:tcW w:w="2448" w:type="dxa"/>
            <w:vAlign w:val="center"/>
          </w:tcPr>
          <w:p w:rsidR="00DF5562" w:rsidRPr="002768AA" w:rsidRDefault="00DF5562" w:rsidP="003D6302">
            <w:pPr>
              <w:autoSpaceDE w:val="0"/>
              <w:autoSpaceDN w:val="0"/>
              <w:adjustRightInd w:val="0"/>
              <w:jc w:val="center"/>
              <w:rPr>
                <w:rFonts w:cs="Times New Roman"/>
                <w:bCs/>
                <w:sz w:val="24"/>
                <w:szCs w:val="24"/>
              </w:rPr>
            </w:pPr>
            <w:r w:rsidRPr="002768AA">
              <w:rPr>
                <w:rFonts w:cs="Times New Roman"/>
                <w:bCs/>
                <w:sz w:val="24"/>
                <w:szCs w:val="24"/>
              </w:rPr>
              <w:t>Vitamin B6</w:t>
            </w:r>
          </w:p>
        </w:tc>
        <w:tc>
          <w:tcPr>
            <w:tcW w:w="369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Meats, whole grain products, vegetables, nuts</w:t>
            </w:r>
          </w:p>
        </w:tc>
        <w:tc>
          <w:tcPr>
            <w:tcW w:w="387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Methionine synthesis</w:t>
            </w:r>
          </w:p>
        </w:tc>
      </w:tr>
      <w:tr w:rsidR="00DF5562" w:rsidRPr="002768AA" w:rsidTr="002768AA">
        <w:tc>
          <w:tcPr>
            <w:tcW w:w="2448" w:type="dxa"/>
            <w:vAlign w:val="center"/>
          </w:tcPr>
          <w:p w:rsidR="00DF5562" w:rsidRPr="002768AA" w:rsidRDefault="00DF5562" w:rsidP="003D6302">
            <w:pPr>
              <w:autoSpaceDE w:val="0"/>
              <w:autoSpaceDN w:val="0"/>
              <w:adjustRightInd w:val="0"/>
              <w:jc w:val="center"/>
              <w:rPr>
                <w:rFonts w:cs="Times New Roman"/>
                <w:bCs/>
                <w:sz w:val="24"/>
                <w:szCs w:val="24"/>
              </w:rPr>
            </w:pPr>
            <w:r w:rsidRPr="002768AA">
              <w:rPr>
                <w:rFonts w:cs="Times New Roman"/>
                <w:bCs/>
                <w:sz w:val="24"/>
                <w:szCs w:val="24"/>
              </w:rPr>
              <w:t>SAM-e (SAM)</w:t>
            </w:r>
          </w:p>
        </w:tc>
        <w:tc>
          <w:tcPr>
            <w:tcW w:w="369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Popular dietary supplement pill; unstable in food</w:t>
            </w:r>
          </w:p>
        </w:tc>
        <w:tc>
          <w:tcPr>
            <w:tcW w:w="387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Enzymes transfer methyl groups from SAM directly to the DNA</w:t>
            </w:r>
          </w:p>
        </w:tc>
      </w:tr>
      <w:tr w:rsidR="00DF5562" w:rsidRPr="002768AA" w:rsidTr="002768AA">
        <w:tc>
          <w:tcPr>
            <w:tcW w:w="2448" w:type="dxa"/>
            <w:vAlign w:val="center"/>
          </w:tcPr>
          <w:p w:rsidR="00DF5562" w:rsidRPr="002768AA" w:rsidRDefault="00DF5562" w:rsidP="003D6302">
            <w:pPr>
              <w:autoSpaceDE w:val="0"/>
              <w:autoSpaceDN w:val="0"/>
              <w:adjustRightInd w:val="0"/>
              <w:jc w:val="center"/>
              <w:rPr>
                <w:rFonts w:cs="Times New Roman"/>
                <w:bCs/>
                <w:sz w:val="24"/>
                <w:szCs w:val="24"/>
              </w:rPr>
            </w:pPr>
            <w:r w:rsidRPr="002768AA">
              <w:rPr>
                <w:rFonts w:cs="Times New Roman"/>
                <w:bCs/>
                <w:sz w:val="24"/>
                <w:szCs w:val="24"/>
              </w:rPr>
              <w:t>Choline</w:t>
            </w:r>
          </w:p>
        </w:tc>
        <w:tc>
          <w:tcPr>
            <w:tcW w:w="369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Egg yolks, liver, soy, cooked beef, chicken, veal and turkey</w:t>
            </w:r>
          </w:p>
        </w:tc>
        <w:tc>
          <w:tcPr>
            <w:tcW w:w="387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Methyl donor to SAM</w:t>
            </w:r>
          </w:p>
        </w:tc>
      </w:tr>
      <w:tr w:rsidR="00DF5562" w:rsidRPr="002768AA" w:rsidTr="002768AA">
        <w:tc>
          <w:tcPr>
            <w:tcW w:w="2448" w:type="dxa"/>
            <w:vAlign w:val="center"/>
          </w:tcPr>
          <w:p w:rsidR="00DF5562" w:rsidRPr="002768AA" w:rsidRDefault="00DF5562" w:rsidP="003D6302">
            <w:pPr>
              <w:autoSpaceDE w:val="0"/>
              <w:autoSpaceDN w:val="0"/>
              <w:adjustRightInd w:val="0"/>
              <w:jc w:val="center"/>
              <w:rPr>
                <w:rFonts w:cs="Times New Roman"/>
                <w:bCs/>
                <w:sz w:val="24"/>
                <w:szCs w:val="24"/>
              </w:rPr>
            </w:pPr>
            <w:proofErr w:type="spellStart"/>
            <w:r w:rsidRPr="002768AA">
              <w:rPr>
                <w:rFonts w:cs="Times New Roman"/>
                <w:bCs/>
                <w:sz w:val="24"/>
                <w:szCs w:val="24"/>
              </w:rPr>
              <w:t>Betaine</w:t>
            </w:r>
            <w:proofErr w:type="spellEnd"/>
          </w:p>
        </w:tc>
        <w:tc>
          <w:tcPr>
            <w:tcW w:w="369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Wheat, spinach, shellfish, and sugar beets</w:t>
            </w:r>
          </w:p>
        </w:tc>
        <w:tc>
          <w:tcPr>
            <w:tcW w:w="387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Break down the toxic byproducts of SAM synthesis</w:t>
            </w:r>
          </w:p>
        </w:tc>
      </w:tr>
      <w:tr w:rsidR="00DF5562" w:rsidRPr="002768AA" w:rsidTr="002768AA">
        <w:tc>
          <w:tcPr>
            <w:tcW w:w="2448" w:type="dxa"/>
            <w:vAlign w:val="center"/>
          </w:tcPr>
          <w:p w:rsidR="00DF5562" w:rsidRPr="002768AA" w:rsidRDefault="00DF5562" w:rsidP="003D6302">
            <w:pPr>
              <w:autoSpaceDE w:val="0"/>
              <w:autoSpaceDN w:val="0"/>
              <w:adjustRightInd w:val="0"/>
              <w:jc w:val="center"/>
              <w:rPr>
                <w:rFonts w:cs="Times New Roman"/>
                <w:bCs/>
                <w:sz w:val="24"/>
                <w:szCs w:val="24"/>
              </w:rPr>
            </w:pPr>
            <w:r w:rsidRPr="002768AA">
              <w:rPr>
                <w:rFonts w:cs="Times New Roman"/>
                <w:bCs/>
                <w:sz w:val="24"/>
                <w:szCs w:val="24"/>
              </w:rPr>
              <w:t>Resveratrol</w:t>
            </w:r>
          </w:p>
        </w:tc>
        <w:tc>
          <w:tcPr>
            <w:tcW w:w="369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Red wine</w:t>
            </w:r>
          </w:p>
        </w:tc>
        <w:tc>
          <w:tcPr>
            <w:tcW w:w="387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Removes acetyl groups from histones, improving health (shown in lab mice)</w:t>
            </w:r>
          </w:p>
        </w:tc>
      </w:tr>
      <w:tr w:rsidR="00DF5562" w:rsidRPr="002768AA" w:rsidTr="002768AA">
        <w:tc>
          <w:tcPr>
            <w:tcW w:w="2448" w:type="dxa"/>
            <w:vAlign w:val="center"/>
          </w:tcPr>
          <w:p w:rsidR="00DF5562" w:rsidRPr="002768AA" w:rsidRDefault="00DF5562" w:rsidP="003D6302">
            <w:pPr>
              <w:autoSpaceDE w:val="0"/>
              <w:autoSpaceDN w:val="0"/>
              <w:adjustRightInd w:val="0"/>
              <w:jc w:val="center"/>
              <w:rPr>
                <w:rFonts w:cs="Times New Roman"/>
                <w:bCs/>
                <w:sz w:val="24"/>
                <w:szCs w:val="24"/>
              </w:rPr>
            </w:pPr>
            <w:proofErr w:type="spellStart"/>
            <w:r w:rsidRPr="002768AA">
              <w:rPr>
                <w:rFonts w:cs="Times New Roman"/>
                <w:bCs/>
                <w:sz w:val="24"/>
                <w:szCs w:val="24"/>
              </w:rPr>
              <w:t>Genistein</w:t>
            </w:r>
            <w:proofErr w:type="spellEnd"/>
          </w:p>
        </w:tc>
        <w:tc>
          <w:tcPr>
            <w:tcW w:w="369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Soy, soy products</w:t>
            </w:r>
          </w:p>
        </w:tc>
        <w:tc>
          <w:tcPr>
            <w:tcW w:w="387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Increased methylation, cancer prevention, unknown mechanism</w:t>
            </w:r>
          </w:p>
        </w:tc>
      </w:tr>
      <w:tr w:rsidR="00DF5562" w:rsidRPr="002768AA" w:rsidTr="002768AA">
        <w:tc>
          <w:tcPr>
            <w:tcW w:w="2448" w:type="dxa"/>
            <w:vAlign w:val="center"/>
          </w:tcPr>
          <w:p w:rsidR="00DF5562" w:rsidRPr="002768AA" w:rsidRDefault="00DF5562" w:rsidP="003D6302">
            <w:pPr>
              <w:autoSpaceDE w:val="0"/>
              <w:autoSpaceDN w:val="0"/>
              <w:adjustRightInd w:val="0"/>
              <w:jc w:val="center"/>
              <w:rPr>
                <w:rFonts w:cs="Times New Roman"/>
                <w:bCs/>
                <w:sz w:val="24"/>
                <w:szCs w:val="24"/>
              </w:rPr>
            </w:pPr>
            <w:proofErr w:type="spellStart"/>
            <w:r w:rsidRPr="002768AA">
              <w:rPr>
                <w:rFonts w:cs="Times New Roman"/>
                <w:bCs/>
                <w:sz w:val="24"/>
                <w:szCs w:val="24"/>
              </w:rPr>
              <w:t>Sulforaphane</w:t>
            </w:r>
            <w:proofErr w:type="spellEnd"/>
          </w:p>
        </w:tc>
        <w:tc>
          <w:tcPr>
            <w:tcW w:w="369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Broccoli</w:t>
            </w:r>
          </w:p>
        </w:tc>
        <w:tc>
          <w:tcPr>
            <w:tcW w:w="387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Increased histone acetylation turning on anti-cancer genes</w:t>
            </w:r>
          </w:p>
        </w:tc>
      </w:tr>
      <w:tr w:rsidR="00DF5562" w:rsidRPr="002768AA" w:rsidTr="002768AA">
        <w:tc>
          <w:tcPr>
            <w:tcW w:w="2448" w:type="dxa"/>
            <w:vAlign w:val="center"/>
          </w:tcPr>
          <w:p w:rsidR="00DF5562" w:rsidRPr="002768AA" w:rsidRDefault="00DF5562" w:rsidP="003D6302">
            <w:pPr>
              <w:autoSpaceDE w:val="0"/>
              <w:autoSpaceDN w:val="0"/>
              <w:adjustRightInd w:val="0"/>
              <w:jc w:val="center"/>
              <w:rPr>
                <w:rFonts w:cs="Times New Roman"/>
                <w:bCs/>
                <w:sz w:val="24"/>
                <w:szCs w:val="24"/>
              </w:rPr>
            </w:pPr>
            <w:r w:rsidRPr="002768AA">
              <w:rPr>
                <w:rFonts w:cs="Times New Roman"/>
                <w:bCs/>
                <w:sz w:val="24"/>
                <w:szCs w:val="24"/>
              </w:rPr>
              <w:t>Butyrate</w:t>
            </w:r>
          </w:p>
        </w:tc>
        <w:tc>
          <w:tcPr>
            <w:tcW w:w="369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A compound produced in the intestine when dietary fiber is fermented</w:t>
            </w:r>
          </w:p>
        </w:tc>
        <w:tc>
          <w:tcPr>
            <w:tcW w:w="387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Increased histone acetylation turning on 'protective' genes, increased lifespan (shown in the lab in flies)</w:t>
            </w:r>
          </w:p>
        </w:tc>
      </w:tr>
      <w:tr w:rsidR="00DF5562" w:rsidRPr="002768AA" w:rsidTr="002768AA">
        <w:tc>
          <w:tcPr>
            <w:tcW w:w="2448" w:type="dxa"/>
            <w:vAlign w:val="center"/>
          </w:tcPr>
          <w:p w:rsidR="00DF5562" w:rsidRPr="002768AA" w:rsidRDefault="00DF5562" w:rsidP="003D6302">
            <w:pPr>
              <w:autoSpaceDE w:val="0"/>
              <w:autoSpaceDN w:val="0"/>
              <w:adjustRightInd w:val="0"/>
              <w:jc w:val="center"/>
              <w:rPr>
                <w:rFonts w:cs="Times New Roman"/>
                <w:bCs/>
                <w:sz w:val="24"/>
                <w:szCs w:val="24"/>
              </w:rPr>
            </w:pPr>
            <w:proofErr w:type="spellStart"/>
            <w:r w:rsidRPr="002768AA">
              <w:rPr>
                <w:rFonts w:cs="Times New Roman"/>
                <w:bCs/>
                <w:sz w:val="24"/>
                <w:szCs w:val="24"/>
              </w:rPr>
              <w:t>Diallyl</w:t>
            </w:r>
            <w:proofErr w:type="spellEnd"/>
            <w:r w:rsidRPr="002768AA">
              <w:rPr>
                <w:rFonts w:cs="Times New Roman"/>
                <w:bCs/>
                <w:sz w:val="24"/>
                <w:szCs w:val="24"/>
              </w:rPr>
              <w:t xml:space="preserve"> </w:t>
            </w:r>
            <w:proofErr w:type="spellStart"/>
            <w:r w:rsidRPr="002768AA">
              <w:rPr>
                <w:rFonts w:cs="Times New Roman"/>
                <w:bCs/>
                <w:sz w:val="24"/>
                <w:szCs w:val="24"/>
              </w:rPr>
              <w:t>sulphide</w:t>
            </w:r>
            <w:proofErr w:type="spellEnd"/>
            <w:r w:rsidRPr="002768AA">
              <w:rPr>
                <w:rFonts w:cs="Times New Roman"/>
                <w:bCs/>
                <w:sz w:val="24"/>
                <w:szCs w:val="24"/>
              </w:rPr>
              <w:t xml:space="preserve"> (DADS)</w:t>
            </w:r>
          </w:p>
        </w:tc>
        <w:tc>
          <w:tcPr>
            <w:tcW w:w="369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Garlic</w:t>
            </w:r>
          </w:p>
        </w:tc>
        <w:tc>
          <w:tcPr>
            <w:tcW w:w="3870" w:type="dxa"/>
            <w:vAlign w:val="center"/>
          </w:tcPr>
          <w:p w:rsidR="00DF5562" w:rsidRPr="002768AA" w:rsidRDefault="00DF5562" w:rsidP="003D6302">
            <w:pPr>
              <w:autoSpaceDE w:val="0"/>
              <w:autoSpaceDN w:val="0"/>
              <w:adjustRightInd w:val="0"/>
              <w:jc w:val="center"/>
              <w:rPr>
                <w:rFonts w:cs="Times New Roman"/>
                <w:sz w:val="24"/>
                <w:szCs w:val="24"/>
              </w:rPr>
            </w:pPr>
            <w:r w:rsidRPr="002768AA">
              <w:rPr>
                <w:rFonts w:cs="Times New Roman"/>
                <w:sz w:val="24"/>
                <w:szCs w:val="24"/>
              </w:rPr>
              <w:t>Increased histone acetylation turning on anti-cancer genes</w:t>
            </w:r>
          </w:p>
        </w:tc>
      </w:tr>
    </w:tbl>
    <w:p w:rsidR="00C55C83" w:rsidRPr="002768AA" w:rsidRDefault="00C55C83" w:rsidP="003D6302">
      <w:pPr>
        <w:autoSpaceDE w:val="0"/>
        <w:autoSpaceDN w:val="0"/>
        <w:adjustRightInd w:val="0"/>
        <w:spacing w:before="100" w:after="0" w:line="240" w:lineRule="auto"/>
        <w:jc w:val="center"/>
        <w:rPr>
          <w:rFonts w:cs="Times New Roman"/>
          <w:sz w:val="14"/>
          <w:szCs w:val="24"/>
        </w:rPr>
      </w:pPr>
    </w:p>
    <w:p w:rsidR="003D6302" w:rsidRPr="002768AA" w:rsidRDefault="003D6302" w:rsidP="003D6302">
      <w:pPr>
        <w:autoSpaceDE w:val="0"/>
        <w:autoSpaceDN w:val="0"/>
        <w:adjustRightInd w:val="0"/>
        <w:spacing w:before="100" w:after="0" w:line="240" w:lineRule="auto"/>
        <w:ind w:left="3240"/>
        <w:jc w:val="center"/>
        <w:rPr>
          <w:rFonts w:cs="Times New Roman"/>
          <w:b/>
          <w:sz w:val="24"/>
          <w:szCs w:val="24"/>
        </w:rPr>
      </w:pPr>
      <w:r w:rsidRPr="002768AA">
        <w:rPr>
          <w:b/>
          <w:noProof/>
        </w:rPr>
        <w:drawing>
          <wp:anchor distT="0" distB="0" distL="114300" distR="114300" simplePos="0" relativeHeight="251665408" behindDoc="1" locked="0" layoutInCell="1" allowOverlap="1" wp14:anchorId="60474B54" wp14:editId="2A21C469">
            <wp:simplePos x="0" y="0"/>
            <wp:positionH relativeFrom="column">
              <wp:posOffset>8890</wp:posOffset>
            </wp:positionH>
            <wp:positionV relativeFrom="paragraph">
              <wp:posOffset>139065</wp:posOffset>
            </wp:positionV>
            <wp:extent cx="1988185" cy="337820"/>
            <wp:effectExtent l="0" t="0" r="0" b="5080"/>
            <wp:wrapTight wrapText="bothSides">
              <wp:wrapPolygon edited="0">
                <wp:start x="0" y="0"/>
                <wp:lineTo x="0" y="20707"/>
                <wp:lineTo x="21317" y="20707"/>
                <wp:lineTo x="2131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rcRect/>
                    <a:stretch/>
                  </pic:blipFill>
                  <pic:spPr bwMode="auto">
                    <a:xfrm>
                      <a:off x="0" y="0"/>
                      <a:ext cx="1988185" cy="337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68AA">
        <w:rPr>
          <w:rFonts w:cs="Times New Roman"/>
          <w:b/>
          <w:sz w:val="24"/>
          <w:szCs w:val="24"/>
        </w:rPr>
        <w:t>Learn more about epigenetics and nutrition at:</w:t>
      </w:r>
    </w:p>
    <w:p w:rsidR="00663F1E" w:rsidRDefault="00553C15" w:rsidP="003D6302">
      <w:pPr>
        <w:autoSpaceDE w:val="0"/>
        <w:autoSpaceDN w:val="0"/>
        <w:adjustRightInd w:val="0"/>
        <w:spacing w:before="100" w:after="0" w:line="240" w:lineRule="auto"/>
        <w:ind w:left="3240"/>
        <w:jc w:val="center"/>
      </w:pPr>
      <w:hyperlink r:id="rId9" w:history="1">
        <w:r w:rsidR="00663F1E" w:rsidRPr="002768AA">
          <w:rPr>
            <w:rStyle w:val="Hyperlink"/>
            <w:rFonts w:cs="Times New Roman"/>
            <w:sz w:val="24"/>
            <w:szCs w:val="24"/>
          </w:rPr>
          <w:t>http://learn.genetics.utah.edu/content/epigenetics/nutrition/</w:t>
        </w:r>
      </w:hyperlink>
    </w:p>
    <w:sectPr w:rsidR="00663F1E" w:rsidSect="002768AA">
      <w:pgSz w:w="12240" w:h="15840"/>
      <w:pgMar w:top="126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540C6"/>
    <w:multiLevelType w:val="hybridMultilevel"/>
    <w:tmpl w:val="7A3C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6C"/>
    <w:rsid w:val="00073B34"/>
    <w:rsid w:val="00152A72"/>
    <w:rsid w:val="002768AA"/>
    <w:rsid w:val="002D51E0"/>
    <w:rsid w:val="002D681C"/>
    <w:rsid w:val="002F65C1"/>
    <w:rsid w:val="003701A1"/>
    <w:rsid w:val="003D6302"/>
    <w:rsid w:val="00415D06"/>
    <w:rsid w:val="0042710B"/>
    <w:rsid w:val="00553C15"/>
    <w:rsid w:val="00663F1E"/>
    <w:rsid w:val="006C7B06"/>
    <w:rsid w:val="006F3ED7"/>
    <w:rsid w:val="00700588"/>
    <w:rsid w:val="00734FBD"/>
    <w:rsid w:val="00AB249D"/>
    <w:rsid w:val="00BC68E6"/>
    <w:rsid w:val="00C20D6C"/>
    <w:rsid w:val="00C55C83"/>
    <w:rsid w:val="00DF5562"/>
    <w:rsid w:val="00E267B5"/>
    <w:rsid w:val="00E30EA8"/>
    <w:rsid w:val="00E95D20"/>
    <w:rsid w:val="00ED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0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D6C"/>
    <w:rPr>
      <w:rFonts w:ascii="Tahoma" w:hAnsi="Tahoma" w:cs="Tahoma"/>
      <w:sz w:val="16"/>
      <w:szCs w:val="16"/>
    </w:rPr>
  </w:style>
  <w:style w:type="character" w:styleId="Hyperlink">
    <w:name w:val="Hyperlink"/>
    <w:basedOn w:val="DefaultParagraphFont"/>
    <w:uiPriority w:val="99"/>
    <w:unhideWhenUsed/>
    <w:rsid w:val="006C7B06"/>
    <w:rPr>
      <w:color w:val="0000FF" w:themeColor="hyperlink"/>
      <w:u w:val="single"/>
    </w:rPr>
  </w:style>
  <w:style w:type="paragraph" w:styleId="ListParagraph">
    <w:name w:val="List Paragraph"/>
    <w:basedOn w:val="Normal"/>
    <w:uiPriority w:val="34"/>
    <w:qFormat/>
    <w:rsid w:val="002D681C"/>
    <w:pPr>
      <w:ind w:left="720"/>
      <w:contextualSpacing/>
      <w:jc w:val="center"/>
    </w:pPr>
  </w:style>
  <w:style w:type="character" w:styleId="Strong">
    <w:name w:val="Strong"/>
    <w:basedOn w:val="DefaultParagraphFont"/>
    <w:uiPriority w:val="99"/>
    <w:qFormat/>
    <w:rsid w:val="00DF55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0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D6C"/>
    <w:rPr>
      <w:rFonts w:ascii="Tahoma" w:hAnsi="Tahoma" w:cs="Tahoma"/>
      <w:sz w:val="16"/>
      <w:szCs w:val="16"/>
    </w:rPr>
  </w:style>
  <w:style w:type="character" w:styleId="Hyperlink">
    <w:name w:val="Hyperlink"/>
    <w:basedOn w:val="DefaultParagraphFont"/>
    <w:uiPriority w:val="99"/>
    <w:unhideWhenUsed/>
    <w:rsid w:val="006C7B06"/>
    <w:rPr>
      <w:color w:val="0000FF" w:themeColor="hyperlink"/>
      <w:u w:val="single"/>
    </w:rPr>
  </w:style>
  <w:style w:type="paragraph" w:styleId="ListParagraph">
    <w:name w:val="List Paragraph"/>
    <w:basedOn w:val="Normal"/>
    <w:uiPriority w:val="34"/>
    <w:qFormat/>
    <w:rsid w:val="002D681C"/>
    <w:pPr>
      <w:ind w:left="720"/>
      <w:contextualSpacing/>
      <w:jc w:val="center"/>
    </w:pPr>
  </w:style>
  <w:style w:type="character" w:styleId="Strong">
    <w:name w:val="Strong"/>
    <w:basedOn w:val="DefaultParagraphFont"/>
    <w:uiPriority w:val="99"/>
    <w:qFormat/>
    <w:rsid w:val="00DF55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arn.genetics.utah.edu/content/epigenetics/nutr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Marriott</dc:creator>
  <cp:lastModifiedBy>Lisa Marriott</cp:lastModifiedBy>
  <cp:revision>3</cp:revision>
  <dcterms:created xsi:type="dcterms:W3CDTF">2014-03-11T21:06:00Z</dcterms:created>
  <dcterms:modified xsi:type="dcterms:W3CDTF">2014-03-11T21:06:00Z</dcterms:modified>
</cp:coreProperties>
</file>