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1B" w:rsidRDefault="00E4301B" w:rsidP="00E4301B">
      <w:pPr>
        <w:pageBreakBefore/>
        <w:autoSpaceDE w:val="0"/>
        <w:spacing w:after="120"/>
        <w:rPr>
          <w:rFonts w:ascii="TimesNewRomanPSMT" w:eastAsia="TimesNewRomanPSMT" w:hAnsi="TimesNewRomanPSMT" w:cs="TimesNewRomanPSMT"/>
          <w:b/>
          <w:bCs/>
          <w:i/>
          <w:iCs/>
          <w:sz w:val="28"/>
        </w:rPr>
      </w:pPr>
      <w:r>
        <w:rPr>
          <w:noProof/>
          <w:lang w:eastAsia="en-US" w:bidi="ar-SA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4680585</wp:posOffset>
            </wp:positionH>
            <wp:positionV relativeFrom="paragraph">
              <wp:posOffset>27305</wp:posOffset>
            </wp:positionV>
            <wp:extent cx="2161540" cy="1245235"/>
            <wp:effectExtent l="19050" t="0" r="0" b="0"/>
            <wp:wrapTight wrapText="bothSides">
              <wp:wrapPolygon edited="0">
                <wp:start x="-190" y="0"/>
                <wp:lineTo x="-190" y="21148"/>
                <wp:lineTo x="21511" y="21148"/>
                <wp:lineTo x="21511" y="0"/>
                <wp:lineTo x="-19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245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NewRomanPSMT" w:eastAsia="TimesNewRomanPSMT" w:hAnsi="TimesNewRomanPSMT" w:cs="TimesNewRomanPSMT"/>
          <w:b/>
          <w:bCs/>
          <w:sz w:val="28"/>
        </w:rPr>
        <w:t xml:space="preserve">Identify a problem to study based on information from </w:t>
      </w:r>
    </w:p>
    <w:p w:rsidR="00E4301B" w:rsidRDefault="00E4301B" w:rsidP="00E4301B">
      <w:pPr>
        <w:autoSpaceDE w:val="0"/>
        <w:spacing w:after="12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  <w:b/>
          <w:bCs/>
          <w:i/>
          <w:iCs/>
          <w:sz w:val="28"/>
        </w:rPr>
        <w:t>Let’s Get Healthy!</w:t>
      </w:r>
    </w:p>
    <w:p w:rsidR="00E4301B" w:rsidRDefault="00E4301B" w:rsidP="00E4301B">
      <w:pPr>
        <w:autoSpaceDE w:val="0"/>
        <w:spacing w:after="12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Below is a list of problems that interfere with people living a healthy </w:t>
      </w:r>
      <w:proofErr w:type="gramStart"/>
      <w:r>
        <w:rPr>
          <w:rFonts w:ascii="TimesNewRomanPSMT" w:eastAsia="TimesNewRomanPSMT" w:hAnsi="TimesNewRomanPSMT" w:cs="TimesNewRomanPSMT"/>
        </w:rPr>
        <w:t>lifestyle.</w:t>
      </w:r>
      <w:proofErr w:type="gramEnd"/>
      <w:r>
        <w:rPr>
          <w:rFonts w:ascii="TimesNewRomanPSMT" w:eastAsia="TimesNewRomanPSMT" w:hAnsi="TimesNewRomanPSMT" w:cs="TimesNewRomanPSMT"/>
        </w:rPr>
        <w:t xml:space="preserve">  After reading the list, discuss what you know or have heard about each topic.  </w:t>
      </w:r>
      <w:r>
        <w:rPr>
          <w:rFonts w:ascii="TimesNewRomanPSMT" w:eastAsia="TimesNewRomanPSMT" w:hAnsi="TimesNewRomanPSMT" w:cs="TimesNewRomanPSMT"/>
          <w:i/>
        </w:rPr>
        <w:t>[Extension: interview parents and other members in your community to learn and record what they know about these problems and their attitudes towards them.]</w:t>
      </w:r>
    </w:p>
    <w:p w:rsidR="00E4301B" w:rsidRDefault="00E4301B" w:rsidP="00E4301B">
      <w:pPr>
        <w:autoSpaceDE w:val="0"/>
        <w:spacing w:after="120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</w:rPr>
        <w:t xml:space="preserve">Purpose of this is for you share what you know about a problem and what others know in order to better understanding of the problem and the circumstances surrounding it.  This will help you </w:t>
      </w:r>
      <w:proofErr w:type="gramStart"/>
      <w:r>
        <w:rPr>
          <w:rFonts w:ascii="TimesNewRomanPSMT" w:eastAsia="TimesNewRomanPSMT" w:hAnsi="TimesNewRomanPSMT" w:cs="TimesNewRomanPSMT"/>
        </w:rPr>
        <w:t>gain  information</w:t>
      </w:r>
      <w:proofErr w:type="gramEnd"/>
      <w:r>
        <w:rPr>
          <w:rFonts w:ascii="TimesNewRomanPSMT" w:eastAsia="TimesNewRomanPSMT" w:hAnsi="TimesNewRomanPSMT" w:cs="TimesNewRomanPSMT"/>
        </w:rPr>
        <w:t xml:space="preserve"> to help you make an intelligent choice when choosing one specific area of focus.</w:t>
      </w:r>
    </w:p>
    <w:p w:rsidR="00E4301B" w:rsidRDefault="00E4301B" w:rsidP="00E4301B">
      <w:pPr>
        <w:autoSpaceDE w:val="0"/>
        <w:spacing w:after="120"/>
        <w:rPr>
          <w:rFonts w:ascii="TimesNewRomanPSMT" w:eastAsia="TimesNewRomanPSMT" w:hAnsi="TimesNewRomanPSMT" w:cs="TimesNewRomanPSMT"/>
          <w:b/>
          <w:sz w:val="22"/>
          <w:szCs w:val="22"/>
        </w:rPr>
      </w:pPr>
      <w:r>
        <w:rPr>
          <w:rFonts w:ascii="TimesNewRomanPSMT" w:eastAsia="TimesNewRomanPSMT" w:hAnsi="TimesNewRomanPSMT" w:cs="TimesNewRomanPSMT"/>
          <w:b/>
          <w:bCs/>
        </w:rPr>
        <w:t>Common problems interfering with improving or maintaining a healthy lifestyle</w:t>
      </w:r>
    </w:p>
    <w:p w:rsidR="00E4301B" w:rsidRDefault="00E4301B" w:rsidP="00E4301B">
      <w:pPr>
        <w:autoSpaceDE w:val="0"/>
        <w:spacing w:after="80"/>
        <w:rPr>
          <w:rFonts w:ascii="TimesNewRomanPSMT" w:eastAsia="TimesNewRomanPSMT" w:hAnsi="TimesNewRomanPSMT" w:cs="TimesNewRomanPSMT"/>
          <w:sz w:val="22"/>
          <w:szCs w:val="22"/>
        </w:rPr>
      </w:pPr>
      <w:r>
        <w:rPr>
          <w:rFonts w:ascii="TimesNewRomanPSMT" w:eastAsia="TimesNewRomanPSMT" w:hAnsi="TimesNewRomanPSMT" w:cs="TimesNewRomanPSMT"/>
          <w:b/>
          <w:sz w:val="22"/>
          <w:szCs w:val="22"/>
        </w:rPr>
        <w:t>DIET</w:t>
      </w:r>
    </w:p>
    <w:p w:rsidR="00E4301B" w:rsidRDefault="00E4301B" w:rsidP="00E4301B">
      <w:pPr>
        <w:numPr>
          <w:ilvl w:val="0"/>
          <w:numId w:val="1"/>
        </w:numPr>
        <w:autoSpaceDE w:val="0"/>
        <w:spacing w:after="80"/>
        <w:rPr>
          <w:rFonts w:ascii="TimesNewRomanPSMT" w:eastAsia="TimesNewRomanPSMT" w:hAnsi="TimesNewRomanPSMT" w:cs="TimesNewRomanPSMT"/>
          <w:sz w:val="22"/>
          <w:szCs w:val="22"/>
        </w:rPr>
      </w:pPr>
      <w:r>
        <w:rPr>
          <w:rFonts w:ascii="TimesNewRomanPSMT" w:eastAsia="TimesNewRomanPSMT" w:hAnsi="TimesNewRomanPSMT" w:cs="TimesNewRomanPSMT"/>
          <w:sz w:val="22"/>
          <w:szCs w:val="22"/>
        </w:rPr>
        <w:t>Not eating enough fruits and vegetables that are from all colors of the rainbow</w:t>
      </w:r>
    </w:p>
    <w:p w:rsidR="00E4301B" w:rsidRDefault="00E4301B" w:rsidP="00E4301B">
      <w:pPr>
        <w:numPr>
          <w:ilvl w:val="0"/>
          <w:numId w:val="1"/>
        </w:numPr>
        <w:autoSpaceDE w:val="0"/>
        <w:spacing w:after="80"/>
        <w:rPr>
          <w:rFonts w:ascii="TimesNewRomanPSMT" w:eastAsia="TimesNewRomanPSMT" w:hAnsi="TimesNewRomanPSMT" w:cs="TimesNewRomanPSMT"/>
          <w:sz w:val="22"/>
          <w:szCs w:val="22"/>
        </w:rPr>
      </w:pPr>
      <w:r>
        <w:rPr>
          <w:rFonts w:ascii="TimesNewRomanPSMT" w:eastAsia="TimesNewRomanPSMT" w:hAnsi="TimesNewRomanPSMT" w:cs="TimesNewRomanPSMT"/>
          <w:sz w:val="22"/>
          <w:szCs w:val="22"/>
        </w:rPr>
        <w:t>Eating foods high in solid fats such as fried foods, chips, hamburgers, hot dogs, cheese, ice cream, 2% or whole milk</w:t>
      </w:r>
    </w:p>
    <w:p w:rsidR="00E4301B" w:rsidRDefault="00E4301B" w:rsidP="00E4301B">
      <w:pPr>
        <w:numPr>
          <w:ilvl w:val="0"/>
          <w:numId w:val="1"/>
        </w:numPr>
        <w:autoSpaceDE w:val="0"/>
        <w:spacing w:after="80"/>
        <w:rPr>
          <w:rFonts w:ascii="TimesNewRomanPSMT" w:eastAsia="TimesNewRomanPSMT" w:hAnsi="TimesNewRomanPSMT" w:cs="TimesNewRomanPSMT"/>
          <w:sz w:val="22"/>
          <w:szCs w:val="22"/>
        </w:rPr>
      </w:pPr>
      <w:r>
        <w:rPr>
          <w:rFonts w:ascii="TimesNewRomanPSMT" w:eastAsia="TimesNewRomanPSMT" w:hAnsi="TimesNewRomanPSMT" w:cs="TimesNewRomanPSMT"/>
          <w:sz w:val="22"/>
          <w:szCs w:val="22"/>
        </w:rPr>
        <w:t>Not eating enough foods from “good” fats such as fish, nuts, olive oil and canola oil</w:t>
      </w:r>
    </w:p>
    <w:p w:rsidR="00E4301B" w:rsidRDefault="00E4301B" w:rsidP="00E4301B">
      <w:pPr>
        <w:numPr>
          <w:ilvl w:val="0"/>
          <w:numId w:val="1"/>
        </w:numPr>
        <w:autoSpaceDE w:val="0"/>
        <w:spacing w:after="80"/>
        <w:rPr>
          <w:rFonts w:ascii="TimesNewRomanPSMT" w:eastAsia="TimesNewRomanPSMT" w:hAnsi="TimesNewRomanPSMT" w:cs="TimesNewRomanPSMT"/>
          <w:sz w:val="22"/>
          <w:szCs w:val="22"/>
        </w:rPr>
      </w:pPr>
      <w:r>
        <w:rPr>
          <w:rFonts w:ascii="TimesNewRomanPSMT" w:eastAsia="TimesNewRomanPSMT" w:hAnsi="TimesNewRomanPSMT" w:cs="TimesNewRomanPSMT"/>
          <w:sz w:val="22"/>
          <w:szCs w:val="22"/>
        </w:rPr>
        <w:t>Drinking foods high in sugar, which can increase weight gain, such as non-diet soda pop, energy drinks, and artificial flavored juice drinks</w:t>
      </w:r>
    </w:p>
    <w:p w:rsidR="00E4301B" w:rsidRDefault="00E4301B" w:rsidP="00E4301B">
      <w:pPr>
        <w:numPr>
          <w:ilvl w:val="0"/>
          <w:numId w:val="1"/>
        </w:numPr>
        <w:autoSpaceDE w:val="0"/>
        <w:spacing w:after="80"/>
        <w:rPr>
          <w:rFonts w:ascii="TimesNewRomanPSMT" w:eastAsia="TimesNewRomanPSMT" w:hAnsi="TimesNewRomanPSMT" w:cs="TimesNewRomanPSMT"/>
          <w:sz w:val="22"/>
          <w:szCs w:val="22"/>
        </w:rPr>
      </w:pPr>
      <w:r>
        <w:rPr>
          <w:rFonts w:ascii="TimesNewRomanPSMT" w:eastAsia="TimesNewRomanPSMT" w:hAnsi="TimesNewRomanPSMT" w:cs="TimesNewRomanPSMT"/>
          <w:sz w:val="22"/>
          <w:szCs w:val="22"/>
        </w:rPr>
        <w:t>Drinking foods high in caffeine, an addictive drug, such as coffee drinks, energy drinks and non-diet soda pop</w:t>
      </w:r>
    </w:p>
    <w:p w:rsidR="00E4301B" w:rsidRDefault="00E4301B" w:rsidP="00E4301B">
      <w:pPr>
        <w:numPr>
          <w:ilvl w:val="0"/>
          <w:numId w:val="1"/>
        </w:numPr>
        <w:autoSpaceDE w:val="0"/>
        <w:spacing w:after="80"/>
        <w:rPr>
          <w:rFonts w:ascii="TimesNewRomanPSMT" w:eastAsia="TimesNewRomanPSMT" w:hAnsi="TimesNewRomanPSMT" w:cs="TimesNewRomanPSMT"/>
          <w:b/>
          <w:sz w:val="22"/>
          <w:szCs w:val="22"/>
        </w:rPr>
      </w:pPr>
      <w:r>
        <w:rPr>
          <w:rFonts w:ascii="TimesNewRomanPSMT" w:eastAsia="TimesNewRomanPSMT" w:hAnsi="TimesNewRomanPSMT" w:cs="TimesNewRomanPSMT"/>
          <w:sz w:val="22"/>
          <w:szCs w:val="22"/>
        </w:rPr>
        <w:t>Eating large portion sizes versus a serving amount</w:t>
      </w:r>
    </w:p>
    <w:p w:rsidR="00E4301B" w:rsidRDefault="00E4301B" w:rsidP="00E4301B">
      <w:pPr>
        <w:autoSpaceDE w:val="0"/>
        <w:spacing w:before="86" w:after="80"/>
        <w:rPr>
          <w:rFonts w:ascii="TimesNewRomanPSMT" w:eastAsia="TimesNewRomanPSMT" w:hAnsi="TimesNewRomanPSMT" w:cs="TimesNewRomanPSMT"/>
          <w:sz w:val="22"/>
          <w:szCs w:val="22"/>
        </w:rPr>
      </w:pPr>
      <w:r>
        <w:rPr>
          <w:rFonts w:ascii="TimesNewRomanPSMT" w:eastAsia="TimesNewRomanPSMT" w:hAnsi="TimesNewRomanPSMT" w:cs="TimesNewRomanPSMT"/>
          <w:b/>
          <w:sz w:val="22"/>
          <w:szCs w:val="22"/>
        </w:rPr>
        <w:t>SUN EXPOSURE</w:t>
      </w:r>
    </w:p>
    <w:p w:rsidR="00E4301B" w:rsidRDefault="00E4301B" w:rsidP="00E4301B">
      <w:pPr>
        <w:numPr>
          <w:ilvl w:val="0"/>
          <w:numId w:val="2"/>
        </w:numPr>
        <w:autoSpaceDE w:val="0"/>
        <w:spacing w:after="80"/>
        <w:rPr>
          <w:rFonts w:ascii="TimesNewRomanPSMT" w:eastAsia="TimesNewRomanPSMT" w:hAnsi="TimesNewRomanPSMT" w:cs="TimesNewRomanPSMT"/>
          <w:sz w:val="22"/>
          <w:szCs w:val="22"/>
        </w:rPr>
      </w:pPr>
      <w:r>
        <w:rPr>
          <w:rFonts w:ascii="TimesNewRomanPSMT" w:eastAsia="TimesNewRomanPSMT" w:hAnsi="TimesNewRomanPSMT" w:cs="TimesNewRomanPSMT"/>
          <w:sz w:val="22"/>
          <w:szCs w:val="22"/>
        </w:rPr>
        <w:t>Not wearing sunscreen with sun protection factor (SPF) 15 or higher</w:t>
      </w:r>
    </w:p>
    <w:p w:rsidR="00E4301B" w:rsidRDefault="00E4301B" w:rsidP="00E4301B">
      <w:pPr>
        <w:numPr>
          <w:ilvl w:val="0"/>
          <w:numId w:val="2"/>
        </w:numPr>
        <w:autoSpaceDE w:val="0"/>
        <w:spacing w:after="80"/>
        <w:rPr>
          <w:rFonts w:ascii="TimesNewRomanPSMT" w:eastAsia="TimesNewRomanPSMT" w:hAnsi="TimesNewRomanPSMT" w:cs="TimesNewRomanPSMT"/>
          <w:sz w:val="22"/>
          <w:szCs w:val="22"/>
        </w:rPr>
      </w:pPr>
      <w:r>
        <w:rPr>
          <w:rFonts w:ascii="TimesNewRomanPSMT" w:eastAsia="TimesNewRomanPSMT" w:hAnsi="TimesNewRomanPSMT" w:cs="TimesNewRomanPSMT"/>
          <w:sz w:val="22"/>
          <w:szCs w:val="22"/>
        </w:rPr>
        <w:t>Not wearing protective clothing, hats, sunglasses when out in the sun</w:t>
      </w:r>
    </w:p>
    <w:p w:rsidR="00E4301B" w:rsidRDefault="00E4301B" w:rsidP="00E4301B">
      <w:pPr>
        <w:numPr>
          <w:ilvl w:val="0"/>
          <w:numId w:val="2"/>
        </w:numPr>
        <w:autoSpaceDE w:val="0"/>
        <w:spacing w:after="80"/>
        <w:rPr>
          <w:rFonts w:ascii="TimesNewRomanPSMT" w:eastAsia="TimesNewRomanPSMT" w:hAnsi="TimesNewRomanPSMT" w:cs="TimesNewRomanPSMT"/>
          <w:sz w:val="22"/>
          <w:szCs w:val="22"/>
        </w:rPr>
      </w:pPr>
      <w:r>
        <w:rPr>
          <w:rFonts w:ascii="TimesNewRomanPSMT" w:eastAsia="TimesNewRomanPSMT" w:hAnsi="TimesNewRomanPSMT" w:cs="TimesNewRomanPSMT"/>
          <w:sz w:val="22"/>
          <w:szCs w:val="22"/>
        </w:rPr>
        <w:t>Not staying in the shade between 10 a.m. and 2 p.m.  when the sun’s rays are most powerful</w:t>
      </w:r>
    </w:p>
    <w:p w:rsidR="00E4301B" w:rsidRDefault="00E4301B" w:rsidP="00E4301B">
      <w:pPr>
        <w:numPr>
          <w:ilvl w:val="0"/>
          <w:numId w:val="2"/>
        </w:numPr>
        <w:autoSpaceDE w:val="0"/>
        <w:spacing w:after="80"/>
        <w:rPr>
          <w:rFonts w:ascii="TimesNewRomanPSMT" w:eastAsia="TimesNewRomanPSMT" w:hAnsi="TimesNewRomanPSMT" w:cs="TimesNewRomanPSMT"/>
          <w:sz w:val="22"/>
          <w:szCs w:val="22"/>
        </w:rPr>
      </w:pPr>
      <w:r>
        <w:rPr>
          <w:rFonts w:ascii="TimesNewRomanPSMT" w:eastAsia="TimesNewRomanPSMT" w:hAnsi="TimesNewRomanPSMT" w:cs="TimesNewRomanPSMT"/>
          <w:sz w:val="22"/>
          <w:szCs w:val="22"/>
        </w:rPr>
        <w:t>Not covering up in the snow at high attitudes on a sunny day since snow reflects 80% of the sun’s rays</w:t>
      </w:r>
    </w:p>
    <w:p w:rsidR="00E4301B" w:rsidRDefault="00E4301B" w:rsidP="00E4301B">
      <w:pPr>
        <w:numPr>
          <w:ilvl w:val="0"/>
          <w:numId w:val="2"/>
        </w:numPr>
        <w:autoSpaceDE w:val="0"/>
        <w:spacing w:after="80"/>
        <w:rPr>
          <w:rFonts w:ascii="TimesNewRomanPSMT" w:eastAsia="TimesNewRomanPSMT" w:hAnsi="TimesNewRomanPSMT" w:cs="TimesNewRomanPSMT"/>
          <w:b/>
          <w:sz w:val="22"/>
          <w:szCs w:val="22"/>
        </w:rPr>
      </w:pPr>
      <w:r>
        <w:rPr>
          <w:rFonts w:ascii="TimesNewRomanPSMT" w:eastAsia="TimesNewRomanPSMT" w:hAnsi="TimesNewRomanPSMT" w:cs="TimesNewRomanPSMT"/>
          <w:sz w:val="22"/>
          <w:szCs w:val="22"/>
        </w:rPr>
        <w:t xml:space="preserve">Using tanning beds </w:t>
      </w:r>
      <w:r>
        <w:rPr>
          <w:rFonts w:eastAsia="TimesNewRomanPSMT" w:cs="Times New Roman"/>
          <w:color w:val="000000"/>
          <w:sz w:val="22"/>
          <w:szCs w:val="22"/>
        </w:rPr>
        <w:t xml:space="preserve">- </w:t>
      </w:r>
      <w:r>
        <w:rPr>
          <w:rFonts w:cs="Times New Roman"/>
          <w:color w:val="000000"/>
          <w:sz w:val="22"/>
          <w:szCs w:val="22"/>
        </w:rPr>
        <w:t>Exposure to tanning beds increases the risk of melanoma, especially in women aged 45 years or younger.</w:t>
      </w:r>
      <w:r>
        <w:rPr>
          <w:rStyle w:val="FootnoteReference"/>
          <w:rFonts w:cs="Times New Roman"/>
          <w:color w:val="000000"/>
          <w:sz w:val="22"/>
          <w:szCs w:val="22"/>
        </w:rPr>
        <w:footnoteReference w:id="1"/>
      </w:r>
      <w:r>
        <w:rPr>
          <w:rFonts w:cs="Times New Roman"/>
          <w:color w:val="000000"/>
          <w:sz w:val="22"/>
          <w:szCs w:val="22"/>
        </w:rPr>
        <w:t xml:space="preserve">  Melanoma is the most common form of cancer for young adults 25-29 years old and the second most common form of cancer for adolescents and young adults 15-29 years old.</w:t>
      </w:r>
      <w:r>
        <w:rPr>
          <w:rStyle w:val="FootnoteReference"/>
          <w:rFonts w:cs="Times New Roman"/>
          <w:color w:val="000000"/>
          <w:sz w:val="22"/>
          <w:szCs w:val="22"/>
        </w:rPr>
        <w:footnoteReference w:id="2"/>
      </w:r>
      <w:r>
        <w:rPr>
          <w:rFonts w:cs="Times New Roman"/>
          <w:color w:val="000000"/>
          <w:sz w:val="22"/>
          <w:szCs w:val="22"/>
        </w:rPr>
        <w:t xml:space="preserve"> </w:t>
      </w:r>
    </w:p>
    <w:p w:rsidR="00E4301B" w:rsidRDefault="00E4301B" w:rsidP="00E4301B">
      <w:pPr>
        <w:autoSpaceDE w:val="0"/>
        <w:spacing w:before="86" w:after="80"/>
        <w:rPr>
          <w:rFonts w:ascii="TimesNewRomanPSMT" w:eastAsia="TimesNewRomanPSMT" w:hAnsi="TimesNewRomanPSMT" w:cs="TimesNewRomanPSMT"/>
          <w:sz w:val="22"/>
          <w:szCs w:val="22"/>
        </w:rPr>
      </w:pPr>
      <w:r>
        <w:rPr>
          <w:rFonts w:ascii="TimesNewRomanPSMT" w:eastAsia="TimesNewRomanPSMT" w:hAnsi="TimesNewRomanPSMT" w:cs="TimesNewRomanPSMT"/>
          <w:b/>
          <w:sz w:val="22"/>
          <w:szCs w:val="22"/>
        </w:rPr>
        <w:t>ACTIVITY TIME</w:t>
      </w:r>
    </w:p>
    <w:p w:rsidR="00E4301B" w:rsidRDefault="00E4301B" w:rsidP="00E4301B">
      <w:pPr>
        <w:numPr>
          <w:ilvl w:val="0"/>
          <w:numId w:val="3"/>
        </w:numPr>
        <w:autoSpaceDE w:val="0"/>
        <w:spacing w:after="80"/>
        <w:rPr>
          <w:rFonts w:ascii="TimesNewRomanPSMT" w:eastAsia="TimesNewRomanPSMT" w:hAnsi="TimesNewRomanPSMT" w:cs="TimesNewRomanPSMT"/>
          <w:sz w:val="22"/>
          <w:szCs w:val="22"/>
        </w:rPr>
      </w:pPr>
      <w:r>
        <w:rPr>
          <w:rFonts w:ascii="TimesNewRomanPSMT" w:eastAsia="TimesNewRomanPSMT" w:hAnsi="TimesNewRomanPSMT" w:cs="TimesNewRomanPSMT"/>
          <w:sz w:val="22"/>
          <w:szCs w:val="22"/>
        </w:rPr>
        <w:t>Spending too much time on the computer, watching TV, playing video games or testing - It all adds up!</w:t>
      </w:r>
    </w:p>
    <w:p w:rsidR="00E4301B" w:rsidRDefault="00E4301B" w:rsidP="00E4301B">
      <w:pPr>
        <w:numPr>
          <w:ilvl w:val="0"/>
          <w:numId w:val="3"/>
        </w:numPr>
        <w:autoSpaceDE w:val="0"/>
        <w:spacing w:after="80"/>
        <w:rPr>
          <w:rFonts w:ascii="TimesNewRomanPSMT" w:eastAsia="TimesNewRomanPSMT" w:hAnsi="TimesNewRomanPSMT" w:cs="TimesNewRomanPSMT"/>
          <w:sz w:val="22"/>
          <w:szCs w:val="22"/>
        </w:rPr>
      </w:pPr>
      <w:r>
        <w:rPr>
          <w:rFonts w:ascii="TimesNewRomanPSMT" w:eastAsia="TimesNewRomanPSMT" w:hAnsi="TimesNewRomanPSMT" w:cs="TimesNewRomanPSMT"/>
          <w:sz w:val="22"/>
          <w:szCs w:val="22"/>
        </w:rPr>
        <w:t>Not balancing your screen time with your physical activities</w:t>
      </w:r>
    </w:p>
    <w:p w:rsidR="00E4301B" w:rsidRDefault="00E4301B" w:rsidP="00E4301B">
      <w:pPr>
        <w:numPr>
          <w:ilvl w:val="0"/>
          <w:numId w:val="3"/>
        </w:numPr>
        <w:autoSpaceDE w:val="0"/>
        <w:spacing w:after="80"/>
        <w:rPr>
          <w:rFonts w:ascii="TimesNewRomanPSMT" w:eastAsia="TimesNewRomanPSMT" w:hAnsi="TimesNewRomanPSMT" w:cs="TimesNewRomanPSMT"/>
          <w:b/>
          <w:sz w:val="22"/>
          <w:szCs w:val="22"/>
        </w:rPr>
      </w:pPr>
      <w:r>
        <w:rPr>
          <w:rFonts w:ascii="TimesNewRomanPSMT" w:eastAsia="TimesNewRomanPSMT" w:hAnsi="TimesNewRomanPSMT" w:cs="TimesNewRomanPSMT"/>
          <w:sz w:val="22"/>
          <w:szCs w:val="22"/>
        </w:rPr>
        <w:t xml:space="preserve">Not balancing what you eat with how much you exercise </w:t>
      </w:r>
    </w:p>
    <w:p w:rsidR="00E4301B" w:rsidRDefault="00E4301B" w:rsidP="00E4301B">
      <w:pPr>
        <w:autoSpaceDE w:val="0"/>
        <w:spacing w:before="86" w:after="80"/>
        <w:rPr>
          <w:rFonts w:ascii="TimesNewRomanPSMT" w:eastAsia="TimesNewRomanPSMT" w:hAnsi="TimesNewRomanPSMT" w:cs="TimesNewRomanPSMT"/>
          <w:sz w:val="22"/>
          <w:szCs w:val="22"/>
        </w:rPr>
      </w:pPr>
      <w:r>
        <w:rPr>
          <w:rFonts w:ascii="TimesNewRomanPSMT" w:eastAsia="TimesNewRomanPSMT" w:hAnsi="TimesNewRomanPSMT" w:cs="TimesNewRomanPSMT"/>
          <w:b/>
          <w:sz w:val="22"/>
          <w:szCs w:val="22"/>
        </w:rPr>
        <w:t>SLEEP</w:t>
      </w:r>
    </w:p>
    <w:p w:rsidR="00E4301B" w:rsidRDefault="00E4301B" w:rsidP="00E4301B">
      <w:pPr>
        <w:numPr>
          <w:ilvl w:val="0"/>
          <w:numId w:val="4"/>
        </w:numPr>
        <w:autoSpaceDE w:val="0"/>
        <w:spacing w:after="80"/>
        <w:rPr>
          <w:rFonts w:ascii="TimesNewRomanPSMT" w:eastAsia="TimesNewRomanPSMT" w:hAnsi="TimesNewRomanPSMT" w:cs="TimesNewRomanPSMT"/>
          <w:sz w:val="22"/>
          <w:szCs w:val="22"/>
        </w:rPr>
      </w:pPr>
      <w:r>
        <w:rPr>
          <w:rFonts w:ascii="TimesNewRomanPSMT" w:eastAsia="TimesNewRomanPSMT" w:hAnsi="TimesNewRomanPSMT" w:cs="TimesNewRomanPSMT"/>
          <w:sz w:val="22"/>
          <w:szCs w:val="22"/>
        </w:rPr>
        <w:t>Not getting between 8.5 and 11 hours or sleep a night which can affect your heart, brain function, and your body size</w:t>
      </w:r>
    </w:p>
    <w:p w:rsidR="00E4301B" w:rsidRDefault="00E4301B" w:rsidP="00E4301B">
      <w:pPr>
        <w:numPr>
          <w:ilvl w:val="0"/>
          <w:numId w:val="4"/>
        </w:numPr>
        <w:autoSpaceDE w:val="0"/>
        <w:spacing w:after="80"/>
        <w:rPr>
          <w:rFonts w:ascii="TimesNewRomanPSMT" w:eastAsia="TimesNewRomanPSMT" w:hAnsi="TimesNewRomanPSMT" w:cs="TimesNewRomanPSMT"/>
          <w:sz w:val="22"/>
          <w:szCs w:val="22"/>
        </w:rPr>
      </w:pPr>
      <w:r>
        <w:rPr>
          <w:rFonts w:ascii="TimesNewRomanPSMT" w:eastAsia="TimesNewRomanPSMT" w:hAnsi="TimesNewRomanPSMT" w:cs="TimesNewRomanPSMT"/>
          <w:sz w:val="22"/>
          <w:szCs w:val="22"/>
        </w:rPr>
        <w:t>Getting poor sleep or interrupted sleep due to consuming caffeine or sugar close to bedtime or due to the use of electronics such as phone, computers, or TV</w:t>
      </w:r>
    </w:p>
    <w:p w:rsidR="00E4301B" w:rsidRPr="0080538B" w:rsidRDefault="00E4301B" w:rsidP="00E4301B">
      <w:pPr>
        <w:numPr>
          <w:ilvl w:val="0"/>
          <w:numId w:val="4"/>
        </w:numPr>
        <w:autoSpaceDE w:val="0"/>
        <w:spacing w:after="80"/>
        <w:rPr>
          <w:rFonts w:ascii="TimesNewRomanPSMT" w:eastAsia="TimesNewRomanPSMT" w:hAnsi="TimesNewRomanPSMT" w:cs="TimesNewRomanPSMT"/>
          <w:sz w:val="22"/>
          <w:szCs w:val="22"/>
        </w:rPr>
      </w:pPr>
      <w:r w:rsidRPr="0080538B">
        <w:rPr>
          <w:rFonts w:ascii="TimesNewRomanPSMT" w:eastAsia="TimesNewRomanPSMT" w:hAnsi="TimesNewRomanPSMT" w:cs="TimesNewRomanPSMT"/>
          <w:sz w:val="22"/>
          <w:szCs w:val="22"/>
        </w:rPr>
        <w:t>Dozing off during routine or daytime situations or feeling sleepy during the daytime</w:t>
      </w:r>
    </w:p>
    <w:p w:rsidR="00E4301B" w:rsidRDefault="00E4301B" w:rsidP="00E4301B">
      <w:pPr>
        <w:pageBreakBefore/>
        <w:autoSpaceDE w:val="0"/>
        <w:spacing w:after="120"/>
        <w:rPr>
          <w:rFonts w:eastAsia="TimesNewRomanPSMT" w:cs="TimesNewRomanPSMT"/>
          <w:b/>
          <w:sz w:val="28"/>
          <w:szCs w:val="28"/>
        </w:rPr>
      </w:pPr>
      <w:bookmarkStart w:id="0" w:name="selectingaproblem"/>
      <w:bookmarkEnd w:id="0"/>
      <w:r>
        <w:rPr>
          <w:noProof/>
          <w:lang w:eastAsia="en-US" w:bidi="ar-SA"/>
        </w:rPr>
        <w:lastRenderedPageBreak/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5019675</wp:posOffset>
            </wp:positionH>
            <wp:positionV relativeFrom="paragraph">
              <wp:posOffset>-124460</wp:posOffset>
            </wp:positionV>
            <wp:extent cx="1713865" cy="981075"/>
            <wp:effectExtent l="19050" t="0" r="635" b="0"/>
            <wp:wrapTight wrapText="bothSides">
              <wp:wrapPolygon edited="0">
                <wp:start x="-240" y="0"/>
                <wp:lineTo x="-240" y="21390"/>
                <wp:lineTo x="21608" y="21390"/>
                <wp:lineTo x="21608" y="0"/>
                <wp:lineTo x="-24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SELECTING A PROBLEM FOR STUDY</w:t>
      </w:r>
    </w:p>
    <w:p w:rsidR="00E4301B" w:rsidRDefault="00E4301B" w:rsidP="00E4301B">
      <w:pPr>
        <w:autoSpaceDE w:val="0"/>
        <w:spacing w:after="120"/>
        <w:rPr>
          <w:rFonts w:eastAsia="TimesNewRomanPSMT" w:cs="TimesNewRomanPSMT"/>
        </w:rPr>
      </w:pPr>
      <w:r>
        <w:rPr>
          <w:rFonts w:eastAsia="TimesNewRomanPSMT" w:cs="TimesNewRomanPSMT"/>
          <w:b/>
          <w:sz w:val="28"/>
          <w:szCs w:val="28"/>
        </w:rPr>
        <w:t>Individual Level – Possible topics</w:t>
      </w:r>
      <w:r>
        <w:rPr>
          <w:rStyle w:val="FootnoteReference"/>
          <w:rFonts w:eastAsia="TimesNewRomanPSMT" w:cs="TimesNewRomanPSMT"/>
          <w:b/>
          <w:sz w:val="28"/>
          <w:szCs w:val="28"/>
        </w:rPr>
        <w:footnoteReference w:id="3"/>
      </w:r>
    </w:p>
    <w:p w:rsidR="00E4301B" w:rsidRDefault="00E4301B" w:rsidP="00E4301B">
      <w:pPr>
        <w:numPr>
          <w:ilvl w:val="0"/>
          <w:numId w:val="6"/>
        </w:numPr>
        <w:autoSpaceDE w:val="0"/>
        <w:spacing w:before="120" w:after="240"/>
        <w:rPr>
          <w:rFonts w:eastAsia="Times New Roman" w:cs="Futura"/>
          <w:szCs w:val="32"/>
          <w:lang w:eastAsia="ar-SA" w:bidi="ar-SA"/>
        </w:rPr>
      </w:pPr>
      <w:r>
        <w:rPr>
          <w:rFonts w:eastAsia="TimesNewRomanPSMT" w:cs="TimesNewRomanPSMT"/>
        </w:rPr>
        <w:t xml:space="preserve">Balancing food intake with physical activity - </w:t>
      </w:r>
      <w:r>
        <w:rPr>
          <w:rFonts w:eastAsia="Times New Roman" w:cs="Arial"/>
          <w:szCs w:val="28"/>
          <w:lang w:eastAsia="ar-SA" w:bidi="ar-SA"/>
        </w:rPr>
        <w:t>Eating just 150 calories more a day than you burn can lead to significant weight gain over a year.</w:t>
      </w:r>
    </w:p>
    <w:p w:rsidR="00E4301B" w:rsidRDefault="00E4301B" w:rsidP="00E4301B">
      <w:pPr>
        <w:numPr>
          <w:ilvl w:val="0"/>
          <w:numId w:val="5"/>
        </w:numPr>
        <w:suppressAutoHyphens w:val="0"/>
        <w:autoSpaceDE w:val="0"/>
        <w:spacing w:after="120"/>
        <w:rPr>
          <w:rFonts w:eastAsia="Times New Roman" w:cs="Futura"/>
          <w:szCs w:val="64"/>
          <w:lang w:eastAsia="ar-SA" w:bidi="ar-SA"/>
        </w:rPr>
      </w:pPr>
      <w:r>
        <w:rPr>
          <w:rFonts w:eastAsia="Times New Roman" w:cs="Futura"/>
          <w:szCs w:val="32"/>
          <w:lang w:eastAsia="ar-SA" w:bidi="ar-SA"/>
        </w:rPr>
        <w:t>Bring lunch and snacks from home to your workplace -</w:t>
      </w:r>
      <w:r>
        <w:rPr>
          <w:rFonts w:eastAsia="Times New Roman" w:cs="Arial"/>
          <w:szCs w:val="28"/>
          <w:lang w:eastAsia="ar-SA" w:bidi="ar-SA"/>
        </w:rPr>
        <w:t>You'll find it's easier to make better choices when you have a variety of nutritious foods available in the places where you eat, like at work.</w:t>
      </w:r>
    </w:p>
    <w:p w:rsidR="00E4301B" w:rsidRDefault="00E4301B" w:rsidP="00E4301B">
      <w:pPr>
        <w:numPr>
          <w:ilvl w:val="0"/>
          <w:numId w:val="5"/>
        </w:numPr>
        <w:suppressAutoHyphens w:val="0"/>
        <w:autoSpaceDE w:val="0"/>
        <w:spacing w:after="120"/>
        <w:rPr>
          <w:rFonts w:eastAsia="Times New Roman" w:cs="Futura"/>
          <w:szCs w:val="32"/>
          <w:lang w:eastAsia="ar-SA" w:bidi="ar-SA"/>
        </w:rPr>
      </w:pPr>
      <w:r>
        <w:rPr>
          <w:rFonts w:eastAsia="Times New Roman" w:cs="Futura"/>
          <w:szCs w:val="64"/>
          <w:lang w:eastAsia="ar-SA" w:bidi="ar-SA"/>
        </w:rPr>
        <w:t xml:space="preserve">Build a healthy support network - </w:t>
      </w:r>
      <w:r>
        <w:rPr>
          <w:rFonts w:eastAsia="Times New Roman" w:cs="Arial"/>
          <w:szCs w:val="28"/>
          <w:lang w:eastAsia="ar-SA" w:bidi="ar-SA"/>
        </w:rPr>
        <w:t xml:space="preserve">Did you know social relationships could influence your risk of being obese? </w:t>
      </w:r>
      <w:r>
        <w:rPr>
          <w:rFonts w:eastAsia="Times New Roman" w:cs="Futura"/>
          <w:szCs w:val="32"/>
          <w:lang w:eastAsia="ar-SA" w:bidi="ar-SA"/>
        </w:rPr>
        <w:t>A person's chance of becoming obese increases by 171% if a close friend becomes obese and by 37% if a spouse becomes obese</w:t>
      </w:r>
    </w:p>
    <w:p w:rsidR="00E4301B" w:rsidRDefault="00E4301B" w:rsidP="00E4301B">
      <w:pPr>
        <w:numPr>
          <w:ilvl w:val="0"/>
          <w:numId w:val="5"/>
        </w:numPr>
        <w:suppressAutoHyphens w:val="0"/>
        <w:autoSpaceDE w:val="0"/>
        <w:spacing w:after="120"/>
        <w:rPr>
          <w:rFonts w:eastAsia="Times New Roman" w:cs="Arial"/>
          <w:szCs w:val="28"/>
          <w:lang w:eastAsia="ar-SA" w:bidi="ar-SA"/>
        </w:rPr>
      </w:pPr>
      <w:r>
        <w:rPr>
          <w:rFonts w:eastAsia="Times New Roman" w:cs="Futura"/>
          <w:szCs w:val="32"/>
          <w:lang w:eastAsia="ar-SA" w:bidi="ar-SA"/>
        </w:rPr>
        <w:t>Active commuting whenever possible – Active community that incorporates cycling or walking is associated with an 11% reduction in the risk of heart disease.</w:t>
      </w:r>
    </w:p>
    <w:p w:rsidR="00E4301B" w:rsidRDefault="00E4301B" w:rsidP="00E4301B">
      <w:pPr>
        <w:numPr>
          <w:ilvl w:val="0"/>
          <w:numId w:val="5"/>
        </w:numPr>
        <w:suppressAutoHyphens w:val="0"/>
        <w:autoSpaceDE w:val="0"/>
        <w:spacing w:after="120"/>
        <w:rPr>
          <w:rFonts w:eastAsia="Times New Roman" w:cs="Arial"/>
          <w:szCs w:val="28"/>
          <w:lang w:eastAsia="ar-SA" w:bidi="ar-SA"/>
        </w:rPr>
      </w:pPr>
      <w:r>
        <w:rPr>
          <w:rFonts w:eastAsia="Times New Roman" w:cs="Arial"/>
          <w:szCs w:val="28"/>
          <w:lang w:eastAsia="ar-SA" w:bidi="ar-SA"/>
        </w:rPr>
        <w:t>Cooking meals allows you to have control over the ingredients and portion sizes – Many of your favorite recipes can be made healthier by simple ingredient substitutions</w:t>
      </w:r>
    </w:p>
    <w:p w:rsidR="00E4301B" w:rsidRDefault="00E4301B" w:rsidP="00E4301B">
      <w:pPr>
        <w:numPr>
          <w:ilvl w:val="0"/>
          <w:numId w:val="5"/>
        </w:numPr>
        <w:suppressAutoHyphens w:val="0"/>
        <w:autoSpaceDE w:val="0"/>
        <w:spacing w:after="120"/>
        <w:rPr>
          <w:rFonts w:eastAsia="Times New Roman" w:cs="Arial"/>
          <w:szCs w:val="28"/>
          <w:lang w:eastAsia="ar-SA" w:bidi="ar-SA"/>
        </w:rPr>
      </w:pPr>
      <w:r>
        <w:rPr>
          <w:rFonts w:eastAsia="Times New Roman" w:cs="Arial"/>
          <w:szCs w:val="28"/>
          <w:lang w:eastAsia="ar-SA" w:bidi="ar-SA"/>
        </w:rPr>
        <w:t>Drink Water - Did you know that one 20-oz. bottle of regular soda has about 14 teaspoons of sugar? That's more sugar than two candy bars</w:t>
      </w:r>
    </w:p>
    <w:p w:rsidR="00E4301B" w:rsidRDefault="00E4301B" w:rsidP="00E4301B">
      <w:pPr>
        <w:numPr>
          <w:ilvl w:val="0"/>
          <w:numId w:val="5"/>
        </w:numPr>
        <w:suppressAutoHyphens w:val="0"/>
        <w:autoSpaceDE w:val="0"/>
        <w:spacing w:after="120"/>
        <w:rPr>
          <w:rFonts w:eastAsia="Times New Roman" w:cs="Futura"/>
          <w:szCs w:val="32"/>
          <w:lang w:eastAsia="ar-SA" w:bidi="ar-SA"/>
        </w:rPr>
      </w:pPr>
      <w:r>
        <w:rPr>
          <w:rFonts w:eastAsia="Times New Roman" w:cs="Arial"/>
          <w:szCs w:val="28"/>
          <w:lang w:eastAsia="ar-SA" w:bidi="ar-SA"/>
        </w:rPr>
        <w:t xml:space="preserve">Keep snacks out of reach - </w:t>
      </w:r>
      <w:r>
        <w:rPr>
          <w:rFonts w:eastAsia="Times New Roman" w:cs="Futura"/>
          <w:szCs w:val="32"/>
          <w:lang w:eastAsia="ar-SA" w:bidi="ar-SA"/>
        </w:rPr>
        <w:t>In one study, people ate more than twice as much candy when it was in a bowl on their desk as when it was just 6 feet away from the desk</w:t>
      </w:r>
    </w:p>
    <w:p w:rsidR="00E4301B" w:rsidRDefault="00E4301B" w:rsidP="00E4301B">
      <w:pPr>
        <w:numPr>
          <w:ilvl w:val="0"/>
          <w:numId w:val="5"/>
        </w:numPr>
        <w:suppressAutoHyphens w:val="0"/>
        <w:autoSpaceDE w:val="0"/>
        <w:spacing w:after="120"/>
        <w:rPr>
          <w:rFonts w:eastAsia="Times New Roman" w:cs="Futura"/>
          <w:szCs w:val="32"/>
          <w:lang w:eastAsia="ar-SA" w:bidi="ar-SA"/>
        </w:rPr>
      </w:pPr>
      <w:r>
        <w:rPr>
          <w:rFonts w:eastAsia="Times New Roman" w:cs="Futura"/>
          <w:szCs w:val="32"/>
          <w:lang w:eastAsia="ar-SA" w:bidi="ar-SA"/>
        </w:rPr>
        <w:t>Learn about food marketing aimed at kids - Each day, children see an average of 15 TV commercials for food products - or 5,500/year. 98% of those are for foods high in fat, sugar, and salt</w:t>
      </w:r>
    </w:p>
    <w:p w:rsidR="00E4301B" w:rsidRDefault="00E4301B" w:rsidP="00E4301B">
      <w:pPr>
        <w:numPr>
          <w:ilvl w:val="0"/>
          <w:numId w:val="5"/>
        </w:numPr>
        <w:suppressAutoHyphens w:val="0"/>
        <w:autoSpaceDE w:val="0"/>
        <w:spacing w:after="120"/>
        <w:rPr>
          <w:rFonts w:eastAsia="Times New Roman" w:cs="Arial"/>
          <w:szCs w:val="28"/>
          <w:lang w:eastAsia="ar-SA" w:bidi="ar-SA"/>
        </w:rPr>
      </w:pPr>
      <w:r>
        <w:rPr>
          <w:rFonts w:eastAsia="Times New Roman" w:cs="Futura"/>
          <w:szCs w:val="32"/>
          <w:lang w:eastAsia="ar-SA" w:bidi="ar-SA"/>
        </w:rPr>
        <w:t xml:space="preserve">Be aware of oversized portions when eating foods away from home - 20 years ago </w:t>
      </w:r>
      <w:proofErr w:type="gramStart"/>
      <w:r>
        <w:rPr>
          <w:rFonts w:eastAsia="Times New Roman" w:cs="Futura"/>
          <w:szCs w:val="32"/>
          <w:lang w:eastAsia="ar-SA" w:bidi="ar-SA"/>
        </w:rPr>
        <w:t>an</w:t>
      </w:r>
      <w:proofErr w:type="gramEnd"/>
      <w:r>
        <w:rPr>
          <w:rFonts w:eastAsia="Times New Roman" w:cs="Futura"/>
          <w:szCs w:val="32"/>
          <w:lang w:eastAsia="ar-SA" w:bidi="ar-SA"/>
        </w:rPr>
        <w:t xml:space="preserve"> average sized bakery muffin had 210 calories. Today's average muffin is over three times as large and often has 500 calories or more!</w:t>
      </w:r>
    </w:p>
    <w:p w:rsidR="00E4301B" w:rsidRDefault="00E4301B" w:rsidP="00E4301B">
      <w:pPr>
        <w:numPr>
          <w:ilvl w:val="0"/>
          <w:numId w:val="5"/>
        </w:numPr>
        <w:suppressAutoHyphens w:val="0"/>
        <w:autoSpaceDE w:val="0"/>
        <w:spacing w:after="120"/>
        <w:rPr>
          <w:rFonts w:eastAsia="Times New Roman" w:cs="Arial"/>
          <w:szCs w:val="28"/>
          <w:lang w:eastAsia="ar-SA" w:bidi="ar-SA"/>
        </w:rPr>
      </w:pPr>
      <w:r>
        <w:rPr>
          <w:rFonts w:eastAsia="Times New Roman" w:cs="Arial"/>
          <w:szCs w:val="28"/>
          <w:lang w:eastAsia="ar-SA" w:bidi="ar-SA"/>
        </w:rPr>
        <w:t>Eat a healthy breakfast - People who eat breakfast tend to weigh less than those who don't.</w:t>
      </w:r>
    </w:p>
    <w:p w:rsidR="00E4301B" w:rsidRDefault="00E4301B" w:rsidP="00E4301B">
      <w:pPr>
        <w:numPr>
          <w:ilvl w:val="0"/>
          <w:numId w:val="5"/>
        </w:numPr>
        <w:suppressAutoHyphens w:val="0"/>
        <w:autoSpaceDE w:val="0"/>
        <w:spacing w:after="120"/>
        <w:rPr>
          <w:rFonts w:eastAsia="Times New Roman" w:cs="Arial"/>
          <w:szCs w:val="28"/>
          <w:lang w:eastAsia="ar-SA" w:bidi="ar-SA"/>
        </w:rPr>
      </w:pPr>
      <w:r>
        <w:rPr>
          <w:rFonts w:eastAsia="Times New Roman" w:cs="Arial"/>
          <w:szCs w:val="28"/>
          <w:lang w:eastAsia="ar-SA" w:bidi="ar-SA"/>
        </w:rPr>
        <w:t>Eat smaller portions - Did you know store-bought chocolate chip cookies could be 700% larger than the standard serving size for a cookies used by FDA for the food label?</w:t>
      </w:r>
    </w:p>
    <w:p w:rsidR="00E4301B" w:rsidRDefault="00E4301B" w:rsidP="00E4301B">
      <w:pPr>
        <w:numPr>
          <w:ilvl w:val="0"/>
          <w:numId w:val="5"/>
        </w:numPr>
        <w:suppressAutoHyphens w:val="0"/>
        <w:autoSpaceDE w:val="0"/>
        <w:spacing w:after="120"/>
        <w:rPr>
          <w:rFonts w:eastAsia="Times New Roman" w:cs="Arial"/>
          <w:szCs w:val="28"/>
          <w:lang w:eastAsia="ar-SA" w:bidi="ar-SA"/>
        </w:rPr>
      </w:pPr>
      <w:r>
        <w:rPr>
          <w:rFonts w:eastAsia="Times New Roman" w:cs="Arial"/>
          <w:szCs w:val="28"/>
          <w:lang w:eastAsia="ar-SA" w:bidi="ar-SA"/>
        </w:rPr>
        <w:t>Find physical activities you enjoy - Getting just 10 more minutes of heart-pumping activity every day could burn almost 20,000 calories in a year.</w:t>
      </w:r>
    </w:p>
    <w:p w:rsidR="00E4301B" w:rsidRDefault="00E4301B" w:rsidP="00E4301B">
      <w:pPr>
        <w:numPr>
          <w:ilvl w:val="0"/>
          <w:numId w:val="5"/>
        </w:numPr>
        <w:suppressAutoHyphens w:val="0"/>
        <w:autoSpaceDE w:val="0"/>
        <w:spacing w:after="120"/>
        <w:rPr>
          <w:rFonts w:eastAsia="Times New Roman" w:cs="Arial"/>
          <w:szCs w:val="28"/>
          <w:lang w:eastAsia="ar-SA" w:bidi="ar-SA"/>
        </w:rPr>
      </w:pPr>
      <w:r>
        <w:rPr>
          <w:rFonts w:eastAsia="Times New Roman" w:cs="Arial"/>
          <w:szCs w:val="28"/>
          <w:lang w:eastAsia="ar-SA" w:bidi="ar-SA"/>
        </w:rPr>
        <w:t>Know what you are eating by understanding what labels are telling you</w:t>
      </w:r>
    </w:p>
    <w:p w:rsidR="00E4301B" w:rsidRDefault="00E4301B" w:rsidP="00E4301B">
      <w:pPr>
        <w:numPr>
          <w:ilvl w:val="0"/>
          <w:numId w:val="5"/>
        </w:numPr>
        <w:suppressAutoHyphens w:val="0"/>
        <w:autoSpaceDE w:val="0"/>
        <w:spacing w:after="120"/>
        <w:rPr>
          <w:rFonts w:eastAsia="Times New Roman" w:cs="Arial"/>
          <w:szCs w:val="28"/>
          <w:lang w:eastAsia="ar-SA" w:bidi="ar-SA"/>
        </w:rPr>
      </w:pPr>
      <w:r>
        <w:rPr>
          <w:rFonts w:eastAsia="Times New Roman" w:cs="Arial"/>
          <w:szCs w:val="28"/>
          <w:lang w:eastAsia="ar-SA" w:bidi="ar-SA"/>
        </w:rPr>
        <w:t>Be a healthy shopper - Stores devote 75% more shelf space to snack foods than to fruits and vegetables.</w:t>
      </w:r>
    </w:p>
    <w:p w:rsidR="00E4301B" w:rsidRDefault="00E4301B" w:rsidP="00E4301B">
      <w:pPr>
        <w:numPr>
          <w:ilvl w:val="0"/>
          <w:numId w:val="5"/>
        </w:numPr>
        <w:suppressAutoHyphens w:val="0"/>
        <w:autoSpaceDE w:val="0"/>
        <w:spacing w:after="120"/>
        <w:rPr>
          <w:rFonts w:eastAsia="Times New Roman" w:cs="Arial"/>
          <w:szCs w:val="28"/>
          <w:lang w:eastAsia="ar-SA" w:bidi="ar-SA"/>
        </w:rPr>
      </w:pPr>
      <w:r>
        <w:rPr>
          <w:rFonts w:eastAsia="Times New Roman" w:cs="Arial"/>
          <w:szCs w:val="28"/>
          <w:lang w:eastAsia="ar-SA" w:bidi="ar-SA"/>
        </w:rPr>
        <w:t>Minimized highly processed packaged foods - Roughly 75% of sodium intake comes from salt (sodium chloride) added by food manufacturers during processing</w:t>
      </w:r>
    </w:p>
    <w:p w:rsidR="00E4301B" w:rsidRDefault="00E4301B" w:rsidP="00E4301B">
      <w:pPr>
        <w:numPr>
          <w:ilvl w:val="0"/>
          <w:numId w:val="5"/>
        </w:numPr>
        <w:suppressAutoHyphens w:val="0"/>
        <w:autoSpaceDE w:val="0"/>
        <w:spacing w:after="120"/>
        <w:rPr>
          <w:rFonts w:eastAsia="Times New Roman" w:cs="Arial"/>
          <w:szCs w:val="28"/>
          <w:lang w:eastAsia="ar-SA" w:bidi="ar-SA"/>
        </w:rPr>
      </w:pPr>
      <w:r>
        <w:rPr>
          <w:rFonts w:eastAsia="Times New Roman" w:cs="Arial"/>
          <w:szCs w:val="28"/>
          <w:lang w:eastAsia="ar-SA" w:bidi="ar-SA"/>
        </w:rPr>
        <w:t xml:space="preserve">Move more, sit less - </w:t>
      </w:r>
      <w:r>
        <w:rPr>
          <w:rFonts w:eastAsia="Times New Roman" w:cs="Futura"/>
          <w:szCs w:val="32"/>
          <w:lang w:eastAsia="ar-SA" w:bidi="ar-SA"/>
        </w:rPr>
        <w:t>On average, U.S. adults spend nearly 20 hours a week watching TV. Fewer than half of them get the recommended 2.5 hours of weekly moderate-intensity activity</w:t>
      </w:r>
    </w:p>
    <w:p w:rsidR="00E4301B" w:rsidRDefault="00E4301B" w:rsidP="00E4301B">
      <w:pPr>
        <w:numPr>
          <w:ilvl w:val="0"/>
          <w:numId w:val="5"/>
        </w:numPr>
        <w:suppressAutoHyphens w:val="0"/>
        <w:autoSpaceDE w:val="0"/>
        <w:spacing w:after="120"/>
        <w:rPr>
          <w:rFonts w:eastAsia="Times New Roman" w:cs="Arial"/>
          <w:szCs w:val="28"/>
          <w:lang w:eastAsia="ar-SA" w:bidi="ar-SA"/>
        </w:rPr>
      </w:pPr>
      <w:r>
        <w:rPr>
          <w:rFonts w:eastAsia="Times New Roman" w:cs="Arial"/>
          <w:szCs w:val="28"/>
          <w:lang w:eastAsia="ar-SA" w:bidi="ar-SA"/>
        </w:rPr>
        <w:t>Replace whole milk with 1% or skim milk - An 8-oz. glass of whole milk contains 150 calories compared to non-fat milk (skim) which has 90 calories</w:t>
      </w:r>
    </w:p>
    <w:p w:rsidR="00E4301B" w:rsidRDefault="00E4301B" w:rsidP="00E4301B">
      <w:pPr>
        <w:numPr>
          <w:ilvl w:val="0"/>
          <w:numId w:val="5"/>
        </w:numPr>
        <w:suppressAutoHyphens w:val="0"/>
        <w:autoSpaceDE w:val="0"/>
        <w:spacing w:after="120"/>
        <w:rPr>
          <w:rFonts w:eastAsia="Times New Roman" w:cs="Arial"/>
          <w:szCs w:val="28"/>
          <w:lang w:eastAsia="ar-SA" w:bidi="ar-SA"/>
        </w:rPr>
      </w:pPr>
      <w:r>
        <w:rPr>
          <w:rFonts w:eastAsia="Times New Roman" w:cs="Arial"/>
          <w:szCs w:val="28"/>
          <w:lang w:eastAsia="ar-SA" w:bidi="ar-SA"/>
        </w:rPr>
        <w:t xml:space="preserve">Plant a vegetable garden - </w:t>
      </w:r>
      <w:r>
        <w:rPr>
          <w:rFonts w:eastAsia="Times New Roman" w:cs="Futura"/>
          <w:szCs w:val="32"/>
          <w:lang w:eastAsia="ar-SA" w:bidi="ar-SA"/>
        </w:rPr>
        <w:t>Not only can planting a vegetable garden give you fresh, delicious vegetables, you can also burn approximately 150 calories during 30 minutes of gardening</w:t>
      </w:r>
    </w:p>
    <w:p w:rsidR="00E4301B" w:rsidRDefault="00E4301B" w:rsidP="00E4301B">
      <w:pPr>
        <w:numPr>
          <w:ilvl w:val="0"/>
          <w:numId w:val="5"/>
        </w:numPr>
        <w:suppressAutoHyphens w:val="0"/>
        <w:autoSpaceDE w:val="0"/>
        <w:spacing w:after="120"/>
      </w:pPr>
      <w:r>
        <w:rPr>
          <w:rFonts w:eastAsia="Times New Roman" w:cs="Arial"/>
          <w:szCs w:val="28"/>
          <w:lang w:eastAsia="ar-SA" w:bidi="ar-SA"/>
        </w:rPr>
        <w:t xml:space="preserve">Weigh yourself once a week - </w:t>
      </w:r>
      <w:r>
        <w:rPr>
          <w:rFonts w:eastAsia="Times New Roman" w:cs="Futura"/>
          <w:szCs w:val="32"/>
          <w:lang w:eastAsia="ar-SA" w:bidi="ar-SA"/>
        </w:rPr>
        <w:t>In 2002, the average American was 25 pounds heavier than in 1960</w:t>
      </w:r>
    </w:p>
    <w:p w:rsidR="00E4301B" w:rsidRDefault="00E4301B" w:rsidP="00E4301B">
      <w:pPr>
        <w:autoSpaceDE w:val="0"/>
        <w:spacing w:after="240"/>
        <w:ind w:right="86"/>
        <w:rPr>
          <w:rFonts w:eastAsia="Helvetica" w:cs="Helvetica"/>
          <w:i/>
          <w:iCs/>
          <w:color w:val="000000"/>
          <w:sz w:val="21"/>
          <w:szCs w:val="21"/>
        </w:rPr>
      </w:pPr>
      <w:bookmarkStart w:id="1" w:name="smartgoals"/>
      <w:bookmarkEnd w:id="1"/>
      <w:r>
        <w:rPr>
          <w:noProof/>
          <w:lang w:eastAsia="en-US" w:bidi="ar-SA"/>
        </w:rPr>
        <w:lastRenderedPageBreak/>
        <w:drawing>
          <wp:anchor distT="0" distB="0" distL="114935" distR="114935" simplePos="0" relativeHeight="251662336" behindDoc="1" locked="0" layoutInCell="1" allowOverlap="1">
            <wp:simplePos x="0" y="0"/>
            <wp:positionH relativeFrom="column">
              <wp:posOffset>5050790</wp:posOffset>
            </wp:positionH>
            <wp:positionV relativeFrom="paragraph">
              <wp:posOffset>-1905</wp:posOffset>
            </wp:positionV>
            <wp:extent cx="1770380" cy="1181100"/>
            <wp:effectExtent l="19050" t="0" r="1270" b="0"/>
            <wp:wrapTight wrapText="bothSides">
              <wp:wrapPolygon edited="0">
                <wp:start x="-232" y="0"/>
                <wp:lineTo x="-232" y="21252"/>
                <wp:lineTo x="21615" y="21252"/>
                <wp:lineTo x="21615" y="0"/>
                <wp:lineTo x="-232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1181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Helvetica" w:cs="Helvetica"/>
          <w:b/>
          <w:bCs/>
          <w:color w:val="000000"/>
          <w:sz w:val="28"/>
          <w:szCs w:val="28"/>
        </w:rPr>
        <w:t>Developing SMART goals as an Individual</w:t>
      </w:r>
    </w:p>
    <w:p w:rsidR="00E4301B" w:rsidRDefault="00E4301B" w:rsidP="00E4301B">
      <w:pPr>
        <w:autoSpaceDE w:val="0"/>
        <w:spacing w:after="100"/>
        <w:ind w:right="86"/>
        <w:rPr>
          <w:rFonts w:eastAsia="Helvetica" w:cs="Helvetica"/>
          <w:b/>
          <w:bCs/>
          <w:color w:val="000000"/>
        </w:rPr>
      </w:pPr>
      <w:r>
        <w:rPr>
          <w:rFonts w:eastAsia="Helvetica" w:cs="Helvetica"/>
          <w:i/>
          <w:iCs/>
          <w:color w:val="000000"/>
          <w:sz w:val="21"/>
          <w:szCs w:val="21"/>
        </w:rPr>
        <w:t>After you have thought of a goal, write it down in the Draft Goal box.  Then test it to make sure it is a SMART goal.  Write your final and revised goal in the last box.</w:t>
      </w:r>
    </w:p>
    <w:p w:rsidR="00E4301B" w:rsidRDefault="00E4301B" w:rsidP="00E4301B">
      <w:pPr>
        <w:autoSpaceDE w:val="0"/>
        <w:spacing w:after="100"/>
        <w:ind w:right="86"/>
        <w:rPr>
          <w:rFonts w:eastAsia="Helvetica" w:cs="Helvetica"/>
          <w:b/>
          <w:bCs/>
          <w:color w:val="000000"/>
        </w:rPr>
      </w:pPr>
      <w:r>
        <w:rPr>
          <w:rFonts w:eastAsia="Helvetica" w:cs="Helvetica"/>
          <w:b/>
          <w:bCs/>
          <w:color w:val="000000"/>
        </w:rPr>
        <w:t xml:space="preserve">Specific - </w:t>
      </w:r>
      <w:r>
        <w:rPr>
          <w:rFonts w:eastAsia="Helvetica" w:cs="Helvetica"/>
          <w:color w:val="000000"/>
        </w:rPr>
        <w:t>The first term stresses the need for a specific goal over and against a more general one. This means the goal is clear and specific</w:t>
      </w:r>
    </w:p>
    <w:p w:rsidR="00E4301B" w:rsidRDefault="00E4301B" w:rsidP="00E4301B">
      <w:pPr>
        <w:autoSpaceDE w:val="0"/>
        <w:spacing w:after="100"/>
        <w:ind w:right="86"/>
        <w:rPr>
          <w:rFonts w:eastAsia="Helvetica" w:cs="Helvetica"/>
          <w:b/>
          <w:bCs/>
          <w:color w:val="000000"/>
        </w:rPr>
      </w:pPr>
      <w:r>
        <w:rPr>
          <w:rFonts w:eastAsia="Helvetica" w:cs="Helvetica"/>
          <w:b/>
          <w:bCs/>
          <w:color w:val="000000"/>
        </w:rPr>
        <w:t xml:space="preserve">Measurable - </w:t>
      </w:r>
      <w:r>
        <w:rPr>
          <w:rFonts w:eastAsia="Helvetica" w:cs="Helvetica"/>
          <w:color w:val="000000"/>
        </w:rPr>
        <w:t xml:space="preserve">The second term stresses the need for measuring progress toward the attainment of the goal. The thought behind this is that if a goal is not measurable, it is not possible to know if one is making progress toward successful completion. </w:t>
      </w:r>
    </w:p>
    <w:p w:rsidR="00E4301B" w:rsidRDefault="00E4301B" w:rsidP="00E4301B">
      <w:pPr>
        <w:autoSpaceDE w:val="0"/>
        <w:spacing w:after="100"/>
        <w:ind w:right="86"/>
        <w:rPr>
          <w:rFonts w:eastAsia="Helvetica" w:cs="Helvetica"/>
          <w:b/>
          <w:bCs/>
          <w:color w:val="000000"/>
        </w:rPr>
      </w:pPr>
      <w:r>
        <w:rPr>
          <w:rFonts w:eastAsia="Helvetica" w:cs="Helvetica"/>
          <w:b/>
          <w:bCs/>
          <w:color w:val="000000"/>
        </w:rPr>
        <w:t xml:space="preserve">Attainable - </w:t>
      </w:r>
      <w:r>
        <w:rPr>
          <w:rFonts w:eastAsia="Helvetica" w:cs="Helvetica"/>
          <w:color w:val="000000"/>
        </w:rPr>
        <w:t xml:space="preserve">The third term stresses the importance of goals that are realistic and attainable. The goal is not out of reach or below standard performance. </w:t>
      </w:r>
    </w:p>
    <w:p w:rsidR="00E4301B" w:rsidRDefault="00E4301B" w:rsidP="00E4301B">
      <w:pPr>
        <w:autoSpaceDE w:val="0"/>
        <w:spacing w:after="100"/>
        <w:ind w:right="86"/>
        <w:rPr>
          <w:rFonts w:eastAsia="Helvetica" w:cs="Helvetica"/>
          <w:b/>
          <w:bCs/>
          <w:color w:val="000000"/>
        </w:rPr>
      </w:pPr>
      <w:r>
        <w:rPr>
          <w:rFonts w:eastAsia="Helvetica" w:cs="Helvetica"/>
          <w:b/>
          <w:bCs/>
          <w:color w:val="000000"/>
        </w:rPr>
        <w:t xml:space="preserve">Relevant - </w:t>
      </w:r>
      <w:r>
        <w:rPr>
          <w:rFonts w:eastAsia="Helvetica" w:cs="Helvetica"/>
          <w:color w:val="000000"/>
        </w:rPr>
        <w:t xml:space="preserve">The fourth term stresses the importance of choosing goals that matter.  </w:t>
      </w:r>
    </w:p>
    <w:p w:rsidR="00E4301B" w:rsidRDefault="00E4301B" w:rsidP="00E4301B">
      <w:pPr>
        <w:autoSpaceDE w:val="0"/>
        <w:spacing w:after="100"/>
        <w:ind w:right="86"/>
      </w:pPr>
      <w:r>
        <w:rPr>
          <w:rFonts w:eastAsia="Helvetica" w:cs="Helvetica"/>
          <w:b/>
          <w:bCs/>
          <w:color w:val="000000"/>
        </w:rPr>
        <w:t xml:space="preserve">Time-bound - </w:t>
      </w:r>
      <w:r>
        <w:rPr>
          <w:rFonts w:eastAsia="Helvetica" w:cs="Helvetica"/>
          <w:color w:val="000000"/>
        </w:rPr>
        <w:t xml:space="preserve">The fifth term stresses the importance of grounding goals within a time frame, giving them a target date. A commitment to a deadline helps one focus his or her efforts on completion of the goal on or before the due date.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99"/>
        <w:gridCol w:w="5407"/>
      </w:tblGrid>
      <w:tr w:rsidR="00E4301B" w:rsidTr="00894FAB">
        <w:tc>
          <w:tcPr>
            <w:tcW w:w="10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301B" w:rsidRDefault="00E4301B" w:rsidP="00894FAB">
            <w:pPr>
              <w:pStyle w:val="TableContents"/>
            </w:pPr>
            <w:r>
              <w:t>Draft Goal:</w:t>
            </w:r>
          </w:p>
          <w:p w:rsidR="00E4301B" w:rsidRDefault="00E4301B" w:rsidP="00894FAB">
            <w:pPr>
              <w:pStyle w:val="TableContents"/>
            </w:pPr>
          </w:p>
          <w:p w:rsidR="00E4301B" w:rsidRDefault="00E4301B" w:rsidP="00894FAB">
            <w:pPr>
              <w:pStyle w:val="TableContents"/>
            </w:pPr>
          </w:p>
        </w:tc>
      </w:tr>
      <w:tr w:rsidR="00E4301B" w:rsidTr="00894FAB">
        <w:tc>
          <w:tcPr>
            <w:tcW w:w="1080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301B" w:rsidRDefault="00E4301B" w:rsidP="00894FAB">
            <w:pPr>
              <w:pStyle w:val="TableContents"/>
            </w:pPr>
            <w:r>
              <w:t>Specific</w:t>
            </w:r>
          </w:p>
          <w:p w:rsidR="00E4301B" w:rsidRDefault="00E4301B" w:rsidP="00894FAB">
            <w:pPr>
              <w:pStyle w:val="TableContents"/>
            </w:pPr>
          </w:p>
          <w:p w:rsidR="00E4301B" w:rsidRDefault="00E4301B" w:rsidP="00894FAB">
            <w:pPr>
              <w:pStyle w:val="TableContents"/>
            </w:pPr>
          </w:p>
        </w:tc>
      </w:tr>
      <w:tr w:rsidR="00E4301B" w:rsidTr="00894FAB">
        <w:tc>
          <w:tcPr>
            <w:tcW w:w="1080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301B" w:rsidRDefault="00E4301B" w:rsidP="00894FAB">
            <w:pPr>
              <w:pStyle w:val="TableContents"/>
            </w:pPr>
            <w:r>
              <w:t>Measurable</w:t>
            </w:r>
          </w:p>
          <w:p w:rsidR="00E4301B" w:rsidRDefault="00E4301B" w:rsidP="00894FAB">
            <w:pPr>
              <w:pStyle w:val="TableContents"/>
            </w:pPr>
          </w:p>
          <w:p w:rsidR="00E4301B" w:rsidRDefault="00E4301B" w:rsidP="00894FAB">
            <w:pPr>
              <w:pStyle w:val="TableContents"/>
            </w:pPr>
          </w:p>
        </w:tc>
      </w:tr>
      <w:tr w:rsidR="00E4301B" w:rsidTr="00894FAB">
        <w:tc>
          <w:tcPr>
            <w:tcW w:w="1080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301B" w:rsidRDefault="00E4301B" w:rsidP="00894FAB">
            <w:pPr>
              <w:pStyle w:val="TableContents"/>
            </w:pPr>
            <w:r>
              <w:t>Attainable</w:t>
            </w:r>
          </w:p>
          <w:p w:rsidR="00E4301B" w:rsidRDefault="00E4301B" w:rsidP="00894FAB">
            <w:pPr>
              <w:pStyle w:val="TableContents"/>
            </w:pPr>
          </w:p>
          <w:p w:rsidR="00E4301B" w:rsidRDefault="00E4301B" w:rsidP="00894FAB">
            <w:pPr>
              <w:pStyle w:val="TableContents"/>
            </w:pPr>
          </w:p>
        </w:tc>
      </w:tr>
      <w:tr w:rsidR="00E4301B" w:rsidTr="00894FAB">
        <w:tc>
          <w:tcPr>
            <w:tcW w:w="1080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301B" w:rsidRDefault="00E4301B" w:rsidP="00894FAB">
            <w:pPr>
              <w:pStyle w:val="TableContents"/>
            </w:pPr>
            <w:r>
              <w:t>Relevant</w:t>
            </w:r>
          </w:p>
          <w:p w:rsidR="00E4301B" w:rsidRDefault="00E4301B" w:rsidP="00894FAB">
            <w:pPr>
              <w:pStyle w:val="TableContents"/>
            </w:pPr>
          </w:p>
          <w:p w:rsidR="00E4301B" w:rsidRDefault="00E4301B" w:rsidP="00894FAB">
            <w:pPr>
              <w:pStyle w:val="TableContents"/>
            </w:pPr>
          </w:p>
        </w:tc>
      </w:tr>
      <w:tr w:rsidR="00E4301B" w:rsidTr="00894FAB">
        <w:tc>
          <w:tcPr>
            <w:tcW w:w="1080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301B" w:rsidRDefault="00E4301B" w:rsidP="00894FAB">
            <w:pPr>
              <w:pStyle w:val="TableContents"/>
            </w:pPr>
            <w:r>
              <w:t>Time-Bound</w:t>
            </w:r>
          </w:p>
          <w:p w:rsidR="00E4301B" w:rsidRDefault="00E4301B" w:rsidP="00894FAB">
            <w:pPr>
              <w:pStyle w:val="TableContents"/>
            </w:pPr>
          </w:p>
          <w:p w:rsidR="00E4301B" w:rsidRDefault="00E4301B" w:rsidP="00894FAB">
            <w:pPr>
              <w:pStyle w:val="TableContents"/>
            </w:pPr>
          </w:p>
        </w:tc>
      </w:tr>
      <w:tr w:rsidR="00E4301B" w:rsidTr="00894FAB">
        <w:tc>
          <w:tcPr>
            <w:tcW w:w="5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301B" w:rsidRDefault="00E4301B" w:rsidP="00894FAB">
            <w:pPr>
              <w:pStyle w:val="TableContents"/>
              <w:rPr>
                <w:sz w:val="22"/>
                <w:szCs w:val="22"/>
              </w:rPr>
            </w:pPr>
            <w:r>
              <w:t>Obstacles</w:t>
            </w:r>
          </w:p>
          <w:p w:rsidR="00E4301B" w:rsidRDefault="00E4301B" w:rsidP="00894FAB">
            <w:pPr>
              <w:pStyle w:val="TableContents"/>
              <w:rPr>
                <w:sz w:val="22"/>
                <w:szCs w:val="22"/>
              </w:rPr>
            </w:pPr>
          </w:p>
          <w:p w:rsidR="00E4301B" w:rsidRDefault="00E4301B" w:rsidP="00894FAB">
            <w:pPr>
              <w:pStyle w:val="TableContents"/>
              <w:rPr>
                <w:sz w:val="22"/>
                <w:szCs w:val="22"/>
              </w:rPr>
            </w:pPr>
          </w:p>
          <w:p w:rsidR="00E4301B" w:rsidRDefault="00E4301B" w:rsidP="00894FAB">
            <w:pPr>
              <w:pStyle w:val="TableContents"/>
              <w:rPr>
                <w:sz w:val="22"/>
                <w:szCs w:val="22"/>
              </w:rPr>
            </w:pPr>
          </w:p>
          <w:p w:rsidR="00E4301B" w:rsidRDefault="00E4301B" w:rsidP="00894FAB">
            <w:pPr>
              <w:pStyle w:val="TableContents"/>
              <w:rPr>
                <w:sz w:val="22"/>
                <w:szCs w:val="22"/>
              </w:rPr>
            </w:pPr>
          </w:p>
          <w:p w:rsidR="00E4301B" w:rsidRDefault="00E4301B" w:rsidP="00894FAB">
            <w:pPr>
              <w:pStyle w:val="TableContents"/>
              <w:rPr>
                <w:sz w:val="22"/>
                <w:szCs w:val="22"/>
              </w:rPr>
            </w:pPr>
          </w:p>
          <w:p w:rsidR="00E4301B" w:rsidRDefault="00E4301B" w:rsidP="00894FAB">
            <w:pPr>
              <w:pStyle w:val="TableContents"/>
            </w:pPr>
          </w:p>
        </w:tc>
        <w:tc>
          <w:tcPr>
            <w:tcW w:w="54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301B" w:rsidRDefault="00E4301B" w:rsidP="00894FAB">
            <w:pPr>
              <w:pStyle w:val="TableContents"/>
            </w:pPr>
            <w:r>
              <w:t>Solutions</w:t>
            </w:r>
          </w:p>
        </w:tc>
      </w:tr>
      <w:tr w:rsidR="00E4301B" w:rsidTr="00894FAB">
        <w:tc>
          <w:tcPr>
            <w:tcW w:w="1080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301B" w:rsidRDefault="00E4301B" w:rsidP="00894FAB">
            <w:pPr>
              <w:pStyle w:val="TableContents"/>
            </w:pPr>
            <w:r>
              <w:t>FINAL GOAL:</w:t>
            </w:r>
          </w:p>
          <w:p w:rsidR="00E4301B" w:rsidRDefault="00E4301B" w:rsidP="00894FAB">
            <w:pPr>
              <w:pStyle w:val="TableContents"/>
            </w:pPr>
          </w:p>
          <w:p w:rsidR="00E4301B" w:rsidRDefault="00E4301B" w:rsidP="00894FAB">
            <w:pPr>
              <w:pStyle w:val="TableContents"/>
            </w:pPr>
          </w:p>
          <w:p w:rsidR="00E4301B" w:rsidRDefault="00E4301B" w:rsidP="00894FAB">
            <w:pPr>
              <w:pStyle w:val="TableContents"/>
            </w:pPr>
          </w:p>
        </w:tc>
      </w:tr>
    </w:tbl>
    <w:p w:rsidR="00E4301B" w:rsidRDefault="00E4301B" w:rsidP="00E4301B">
      <w:pPr>
        <w:autoSpaceDE w:val="0"/>
        <w:spacing w:after="100"/>
      </w:pPr>
    </w:p>
    <w:p w:rsidR="00E4301B" w:rsidRDefault="00E4301B" w:rsidP="00E4301B">
      <w:pPr>
        <w:autoSpaceDE w:val="0"/>
        <w:spacing w:after="20"/>
      </w:pPr>
      <w:r>
        <w:rPr>
          <w:rFonts w:eastAsia="Helvetica" w:cs="Helvetica"/>
          <w:color w:val="000000"/>
          <w:sz w:val="16"/>
          <w:szCs w:val="16"/>
        </w:rPr>
        <w:t xml:space="preserve">Meyer, Paul J (2003). “What would you do if you knew you couldn't fail?  </w:t>
      </w:r>
      <w:proofErr w:type="gramStart"/>
      <w:r>
        <w:rPr>
          <w:rFonts w:eastAsia="Helvetica" w:cs="Helvetica"/>
          <w:color w:val="000000"/>
          <w:sz w:val="16"/>
          <w:szCs w:val="16"/>
        </w:rPr>
        <w:t>Creating S.M.A.R.T. Goals”.</w:t>
      </w:r>
      <w:proofErr w:type="gramEnd"/>
      <w:r>
        <w:rPr>
          <w:rFonts w:eastAsia="Helvetica" w:cs="Helvetica"/>
          <w:color w:val="000000"/>
          <w:sz w:val="16"/>
          <w:szCs w:val="16"/>
        </w:rPr>
        <w:t xml:space="preserve">  </w:t>
      </w:r>
      <w:r>
        <w:rPr>
          <w:rFonts w:eastAsia="Helvetica" w:cs="Helvetica"/>
          <w:i/>
          <w:iCs/>
          <w:color w:val="000000"/>
          <w:sz w:val="16"/>
          <w:szCs w:val="16"/>
        </w:rPr>
        <w:t>Attitude Is Everything: If You Want to Succeed Above and Beyond</w:t>
      </w:r>
      <w:r>
        <w:rPr>
          <w:rFonts w:eastAsia="Helvetica" w:cs="Helvetica"/>
          <w:color w:val="000000"/>
          <w:sz w:val="16"/>
          <w:szCs w:val="16"/>
        </w:rPr>
        <w:t>. Meyer Resource Group, Incorporated, The.</w:t>
      </w:r>
    </w:p>
    <w:p w:rsidR="0016521C" w:rsidRDefault="0016521C"/>
    <w:sectPr w:rsidR="0016521C" w:rsidSect="00E430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D8C" w:rsidRDefault="00A16D8C" w:rsidP="00E4301B">
      <w:r>
        <w:separator/>
      </w:r>
    </w:p>
  </w:endnote>
  <w:endnote w:type="continuationSeparator" w:id="0">
    <w:p w:rsidR="00A16D8C" w:rsidRDefault="00A16D8C" w:rsidP="00E43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Futura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D8C" w:rsidRDefault="00A16D8C" w:rsidP="00E4301B">
      <w:r>
        <w:separator/>
      </w:r>
    </w:p>
  </w:footnote>
  <w:footnote w:type="continuationSeparator" w:id="0">
    <w:p w:rsidR="00A16D8C" w:rsidRDefault="00A16D8C" w:rsidP="00E4301B">
      <w:r>
        <w:continuationSeparator/>
      </w:r>
    </w:p>
  </w:footnote>
  <w:footnote w:id="1">
    <w:p w:rsidR="00E4301B" w:rsidRDefault="00E4301B" w:rsidP="00E4301B">
      <w:pPr>
        <w:pStyle w:val="BodyText"/>
        <w:pageBreakBefore/>
        <w:numPr>
          <w:ilvl w:val="0"/>
          <w:numId w:val="7"/>
        </w:numPr>
        <w:tabs>
          <w:tab w:val="left" w:pos="0"/>
        </w:tabs>
        <w:spacing w:after="0"/>
        <w:rPr>
          <w:rFonts w:cs="Times New Roman"/>
        </w:rPr>
      </w:pPr>
      <w:r>
        <w:rPr>
          <w:rStyle w:val="FootnoteCharacters"/>
        </w:rPr>
        <w:footnoteRef/>
      </w:r>
      <w:r>
        <w:rPr>
          <w:rFonts w:cs="Times New Roman"/>
          <w:sz w:val="16"/>
        </w:rPr>
        <w:tab/>
        <w:t xml:space="preserve">Ting W, Schultz K, </w:t>
      </w:r>
      <w:proofErr w:type="spellStart"/>
      <w:r>
        <w:rPr>
          <w:rFonts w:cs="Times New Roman"/>
          <w:sz w:val="16"/>
        </w:rPr>
        <w:t>Cac</w:t>
      </w:r>
      <w:proofErr w:type="spellEnd"/>
      <w:r>
        <w:rPr>
          <w:rFonts w:cs="Times New Roman"/>
          <w:sz w:val="16"/>
        </w:rPr>
        <w:t xml:space="preserve"> NN, Peterson M, Walling HW. Tanning bed exposure increases the risk of malignant melanoma. </w:t>
      </w:r>
      <w:proofErr w:type="spellStart"/>
      <w:r>
        <w:rPr>
          <w:rFonts w:cs="Times New Roman"/>
          <w:sz w:val="16"/>
        </w:rPr>
        <w:t>Int</w:t>
      </w:r>
      <w:proofErr w:type="spellEnd"/>
      <w:r>
        <w:rPr>
          <w:rFonts w:cs="Times New Roman"/>
          <w:sz w:val="16"/>
        </w:rPr>
        <w:t xml:space="preserve"> J </w:t>
      </w:r>
      <w:proofErr w:type="spellStart"/>
      <w:r>
        <w:rPr>
          <w:rFonts w:cs="Times New Roman"/>
          <w:sz w:val="16"/>
        </w:rPr>
        <w:t>Dermatol</w:t>
      </w:r>
      <w:proofErr w:type="spellEnd"/>
      <w:r>
        <w:rPr>
          <w:rFonts w:cs="Times New Roman"/>
          <w:sz w:val="16"/>
        </w:rPr>
        <w:t>. 2007 Dec</w:t>
      </w:r>
      <w:proofErr w:type="gramStart"/>
      <w:r>
        <w:rPr>
          <w:rFonts w:cs="Times New Roman"/>
          <w:sz w:val="16"/>
        </w:rPr>
        <w:t>;46</w:t>
      </w:r>
      <w:proofErr w:type="gramEnd"/>
      <w:r>
        <w:rPr>
          <w:rFonts w:cs="Times New Roman"/>
          <w:sz w:val="16"/>
        </w:rPr>
        <w:t xml:space="preserve">(12):1253-7. </w:t>
      </w:r>
    </w:p>
    <w:p w:rsidR="00E4301B" w:rsidRPr="0080538B" w:rsidRDefault="00E4301B" w:rsidP="00E4301B">
      <w:pPr>
        <w:pStyle w:val="BodyText"/>
        <w:pageBreakBefore/>
        <w:tabs>
          <w:tab w:val="left" w:pos="0"/>
        </w:tabs>
        <w:rPr>
          <w:rFonts w:cs="Times New Roman"/>
          <w:sz w:val="16"/>
          <w:szCs w:val="16"/>
        </w:rPr>
      </w:pPr>
    </w:p>
  </w:footnote>
  <w:footnote w:id="2">
    <w:p w:rsidR="00E4301B" w:rsidRDefault="00E4301B" w:rsidP="00E4301B">
      <w:pPr>
        <w:pStyle w:val="BodyText"/>
        <w:numPr>
          <w:ilvl w:val="0"/>
          <w:numId w:val="7"/>
        </w:numPr>
        <w:tabs>
          <w:tab w:val="left" w:pos="0"/>
        </w:tabs>
      </w:pPr>
      <w:r>
        <w:rPr>
          <w:rStyle w:val="FootnoteCharacters"/>
        </w:rPr>
        <w:footnoteRef/>
      </w:r>
      <w:r>
        <w:rPr>
          <w:rFonts w:cs="Times New Roman"/>
          <w:sz w:val="16"/>
          <w:szCs w:val="16"/>
        </w:rPr>
        <w:tab/>
      </w:r>
      <w:proofErr w:type="spellStart"/>
      <w:r>
        <w:rPr>
          <w:rFonts w:cs="Times New Roman"/>
          <w:sz w:val="16"/>
          <w:szCs w:val="16"/>
        </w:rPr>
        <w:t>Howlader</w:t>
      </w:r>
      <w:proofErr w:type="spellEnd"/>
      <w:r>
        <w:rPr>
          <w:rFonts w:cs="Times New Roman"/>
          <w:sz w:val="16"/>
          <w:szCs w:val="16"/>
        </w:rPr>
        <w:t xml:space="preserve"> N, </w:t>
      </w:r>
      <w:proofErr w:type="spellStart"/>
      <w:r>
        <w:rPr>
          <w:rFonts w:cs="Times New Roman"/>
          <w:sz w:val="16"/>
          <w:szCs w:val="16"/>
        </w:rPr>
        <w:t>Noone</w:t>
      </w:r>
      <w:proofErr w:type="spellEnd"/>
      <w:r>
        <w:rPr>
          <w:rFonts w:cs="Times New Roman"/>
          <w:sz w:val="16"/>
          <w:szCs w:val="16"/>
        </w:rPr>
        <w:t xml:space="preserve"> </w:t>
      </w:r>
      <w:proofErr w:type="gramStart"/>
      <w:r>
        <w:rPr>
          <w:rFonts w:cs="Times New Roman"/>
          <w:sz w:val="16"/>
          <w:szCs w:val="16"/>
        </w:rPr>
        <w:t>AM</w:t>
      </w:r>
      <w:proofErr w:type="gramEnd"/>
      <w:r>
        <w:rPr>
          <w:rFonts w:cs="Times New Roman"/>
          <w:sz w:val="16"/>
          <w:szCs w:val="16"/>
        </w:rPr>
        <w:t xml:space="preserve">, </w:t>
      </w:r>
      <w:proofErr w:type="spellStart"/>
      <w:r>
        <w:rPr>
          <w:rFonts w:cs="Times New Roman"/>
          <w:sz w:val="16"/>
          <w:szCs w:val="16"/>
        </w:rPr>
        <w:t>Krapcho</w:t>
      </w:r>
      <w:proofErr w:type="spellEnd"/>
      <w:r>
        <w:rPr>
          <w:rFonts w:cs="Times New Roman"/>
          <w:sz w:val="16"/>
          <w:szCs w:val="16"/>
        </w:rPr>
        <w:t xml:space="preserve"> M, et al. SEER Cancer Statistics Review, 1975-2008, National Cancer Institute. Bethesda, MD, http://seer.cancer.gov/csr/1975_2009_pops09/, based on November 2010 SEER data submission, posted to the SEER web site, 2011. </w:t>
      </w:r>
    </w:p>
  </w:footnote>
  <w:footnote w:id="3">
    <w:p w:rsidR="00E4301B" w:rsidRDefault="00E4301B" w:rsidP="00E4301B">
      <w:pPr>
        <w:suppressAutoHyphens w:val="0"/>
        <w:autoSpaceDE w:val="0"/>
        <w:spacing w:after="120"/>
        <w:ind w:left="360" w:hanging="360"/>
      </w:pPr>
      <w:r>
        <w:rPr>
          <w:rStyle w:val="FootnoteCharacters"/>
        </w:rPr>
        <w:footnoteRef/>
      </w:r>
      <w:r>
        <w:rPr>
          <w:rFonts w:eastAsia="Times New Roman" w:cs="Futura"/>
          <w:sz w:val="16"/>
          <w:szCs w:val="16"/>
          <w:lang w:eastAsia="ar-SA" w:bidi="ar-SA"/>
        </w:rPr>
        <w:tab/>
      </w:r>
      <w:proofErr w:type="gramStart"/>
      <w:r>
        <w:rPr>
          <w:rFonts w:eastAsia="Times New Roman" w:cs="Futura"/>
          <w:sz w:val="16"/>
          <w:szCs w:val="16"/>
          <w:lang w:eastAsia="ar-SA" w:bidi="ar-SA"/>
        </w:rPr>
        <w:t>“The Weight of the Nation”.</w:t>
      </w:r>
      <w:proofErr w:type="gramEnd"/>
      <w:r>
        <w:rPr>
          <w:rFonts w:eastAsia="Times New Roman" w:cs="Futura"/>
          <w:sz w:val="16"/>
          <w:szCs w:val="16"/>
          <w:lang w:eastAsia="ar-SA" w:bidi="ar-SA"/>
        </w:rPr>
        <w:t xml:space="preserve">  </w:t>
      </w:r>
      <w:proofErr w:type="gramStart"/>
      <w:r>
        <w:rPr>
          <w:rFonts w:eastAsia="Times New Roman" w:cs="Futura"/>
          <w:sz w:val="16"/>
          <w:szCs w:val="16"/>
          <w:lang w:eastAsia="ar-SA" w:bidi="ar-SA"/>
        </w:rPr>
        <w:t>Home Box Office (HBO).</w:t>
      </w:r>
      <w:proofErr w:type="gramEnd"/>
      <w:r>
        <w:rPr>
          <w:rFonts w:eastAsia="Times New Roman" w:cs="Futura"/>
          <w:sz w:val="16"/>
          <w:szCs w:val="16"/>
          <w:lang w:eastAsia="ar-SA" w:bidi="ar-SA"/>
        </w:rPr>
        <w:t xml:space="preserve">  2012.  Web.  June 28, 2012.  &lt;</w:t>
      </w:r>
      <w:r>
        <w:rPr>
          <w:sz w:val="16"/>
          <w:szCs w:val="16"/>
        </w:rPr>
        <w:t>http://theweightofthenation.hbo.com/</w:t>
      </w:r>
      <w:r>
        <w:rPr>
          <w:rFonts w:eastAsia="Times New Roman" w:cs="Futura"/>
          <w:sz w:val="16"/>
          <w:szCs w:val="16"/>
          <w:lang w:eastAsia="ar-SA" w:bidi="ar-SA"/>
        </w:rPr>
        <w:t xml:space="preserve">&gt;.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01B"/>
    <w:rsid w:val="0016521C"/>
    <w:rsid w:val="00A16D8C"/>
    <w:rsid w:val="00E4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01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E4301B"/>
  </w:style>
  <w:style w:type="character" w:styleId="FootnoteReference">
    <w:name w:val="footnote reference"/>
    <w:rsid w:val="00E4301B"/>
    <w:rPr>
      <w:vertAlign w:val="superscript"/>
    </w:rPr>
  </w:style>
  <w:style w:type="paragraph" w:styleId="BodyText">
    <w:name w:val="Body Text"/>
    <w:basedOn w:val="Normal"/>
    <w:link w:val="BodyTextChar"/>
    <w:rsid w:val="00E4301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4301B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Normal"/>
    <w:rsid w:val="00E4301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1047</Words>
  <Characters>5973</Characters>
  <Application>Microsoft Office Word</Application>
  <DocSecurity>0</DocSecurity>
  <Lines>49</Lines>
  <Paragraphs>14</Paragraphs>
  <ScaleCrop>false</ScaleCrop>
  <Company>SHSD 502</Company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</dc:creator>
  <cp:lastModifiedBy>Alison</cp:lastModifiedBy>
  <cp:revision>1</cp:revision>
  <dcterms:created xsi:type="dcterms:W3CDTF">2013-07-18T06:26:00Z</dcterms:created>
  <dcterms:modified xsi:type="dcterms:W3CDTF">2013-07-18T06:27:00Z</dcterms:modified>
</cp:coreProperties>
</file>